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91F" w:rsidRPr="00F6118B" w:rsidRDefault="00920B8D" w:rsidP="001257C6">
      <w:pPr>
        <w:jc w:val="center"/>
        <w:rPr>
          <w:rFonts w:ascii="Corbel" w:eastAsia="Times New Roman" w:hAnsi="Corbel" w:cs="Times New Roman"/>
          <w:b/>
          <w:color w:val="FF0000"/>
          <w:sz w:val="36"/>
          <w:szCs w:val="36"/>
          <w:lang w:eastAsia="en-GB"/>
        </w:rPr>
      </w:pPr>
      <w:r w:rsidRPr="00F6118B">
        <w:rPr>
          <w:rFonts w:ascii="Corbel" w:eastAsia="Times New Roman" w:hAnsi="Corbel" w:cs="Times New Roman"/>
          <w:b/>
          <w:color w:val="FF0000"/>
          <w:sz w:val="36"/>
          <w:szCs w:val="36"/>
          <w:lang w:eastAsia="en-GB"/>
        </w:rPr>
        <w:t>COSTS RELEVANT RULE CHANGES FROM 1999 - 2018</w:t>
      </w:r>
    </w:p>
    <w:p w:rsidR="001C6FF3" w:rsidRPr="00E54846" w:rsidRDefault="001C6FF3" w:rsidP="00E14136">
      <w:pPr>
        <w:spacing w:line="240" w:lineRule="auto"/>
        <w:jc w:val="both"/>
        <w:rPr>
          <w:rFonts w:ascii="Corbel" w:eastAsia="Times New Roman" w:hAnsi="Corbel" w:cs="Times New Roman"/>
          <w:color w:val="F4F4F4"/>
          <w:sz w:val="24"/>
          <w:szCs w:val="24"/>
          <w:lang w:eastAsia="en-GB"/>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40"/>
        <w:gridCol w:w="6902"/>
      </w:tblGrid>
      <w:tr w:rsidR="001C6FF3" w:rsidRPr="00E54846" w:rsidTr="008A7CE5">
        <w:tc>
          <w:tcPr>
            <w:tcW w:w="2340" w:type="dxa"/>
            <w:tcBorders>
              <w:top w:val="single" w:sz="8" w:space="0" w:color="auto"/>
              <w:left w:val="single" w:sz="8" w:space="0" w:color="auto"/>
              <w:bottom w:val="single" w:sz="8" w:space="0" w:color="auto"/>
              <w:right w:val="single" w:sz="8" w:space="0" w:color="auto"/>
            </w:tcBorders>
            <w:shd w:val="clear" w:color="auto" w:fill="8DB3E2" w:themeFill="text2" w:themeFillTint="6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26th APRIL 1999</w:t>
            </w:r>
          </w:p>
        </w:tc>
        <w:tc>
          <w:tcPr>
            <w:tcW w:w="6902" w:type="dxa"/>
            <w:tcBorders>
              <w:top w:val="single" w:sz="8" w:space="0" w:color="auto"/>
              <w:left w:val="nil"/>
              <w:bottom w:val="single" w:sz="8" w:space="0" w:color="auto"/>
              <w:right w:val="single" w:sz="8" w:space="0" w:color="auto"/>
            </w:tcBorders>
            <w:shd w:val="clear" w:color="auto" w:fill="8DB3E2" w:themeFill="text2" w:themeFillTint="6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CIVIL PROCEDURE RULES CAME INTO FORCE</w:t>
            </w:r>
          </w:p>
          <w:p w:rsidR="001C6FF3" w:rsidRDefault="001C6FF3" w:rsidP="00E14136">
            <w:p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Relevant key points which were regulated by the CPR:</w:t>
            </w:r>
          </w:p>
          <w:p w:rsidR="00E54846" w:rsidRPr="00E54846" w:rsidRDefault="00E54846" w:rsidP="00E14136">
            <w:pPr>
              <w:spacing w:after="0" w:line="240" w:lineRule="auto"/>
              <w:jc w:val="both"/>
              <w:rPr>
                <w:rFonts w:ascii="Corbel" w:eastAsia="Times New Roman" w:hAnsi="Corbel" w:cs="Times New Roman"/>
                <w:sz w:val="24"/>
                <w:szCs w:val="24"/>
                <w:lang w:eastAsia="en-GB"/>
              </w:rPr>
            </w:pP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Part 7 Proceedings.</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Part 8 Proceedings.</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Case Management: scope of Small Track, Fast Track and Multi Track; Allocation; etc.</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Case Management Conference and Pre-Trial Review.</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Experts and assessors.</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Part 36 Offers in relation to main action.</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Part 47.19 Offers in relation to costs.</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hAnsi="Corbel" w:cs="Arial"/>
                <w:bCs/>
                <w:color w:val="000000"/>
                <w:sz w:val="24"/>
                <w:szCs w:val="24"/>
              </w:rPr>
              <w:t>Liability for costs of detailed assessment proceedings.</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Rules regarding summary assessment and detailed assessment.</w:t>
            </w:r>
          </w:p>
          <w:p w:rsidR="001C6FF3" w:rsidRPr="00E54846" w:rsidRDefault="00283FA7" w:rsidP="00E14136">
            <w:pPr>
              <w:pStyle w:val="ListParagraph"/>
              <w:numPr>
                <w:ilvl w:val="0"/>
                <w:numId w:val="2"/>
              </w:numPr>
              <w:spacing w:after="0" w:line="240" w:lineRule="auto"/>
              <w:jc w:val="both"/>
              <w:rPr>
                <w:rFonts w:ascii="Corbel" w:eastAsia="Times New Roman" w:hAnsi="Corbel" w:cs="Times New Roman"/>
                <w:i/>
                <w:sz w:val="24"/>
                <w:szCs w:val="24"/>
                <w:lang w:eastAsia="en-GB"/>
              </w:rPr>
            </w:pPr>
            <w:r w:rsidRPr="00E54846">
              <w:rPr>
                <w:rFonts w:ascii="Corbel" w:eastAsia="Times New Roman" w:hAnsi="Corbel" w:cs="Times New Roman"/>
                <w:sz w:val="24"/>
                <w:szCs w:val="24"/>
                <w:lang w:eastAsia="en-GB"/>
              </w:rPr>
              <w:t>Fixed costs (</w:t>
            </w:r>
            <w:r w:rsidR="001C6FF3" w:rsidRPr="00E54846">
              <w:rPr>
                <w:rFonts w:ascii="Corbel" w:eastAsia="Times New Roman" w:hAnsi="Corbel" w:cs="Times New Roman"/>
                <w:sz w:val="24"/>
                <w:szCs w:val="24"/>
                <w:lang w:eastAsia="en-GB"/>
              </w:rPr>
              <w:t>very basic rules related to</w:t>
            </w:r>
            <w:r w:rsidR="001C6FF3" w:rsidRPr="00E54846">
              <w:rPr>
                <w:rFonts w:ascii="Corbel" w:hAnsi="Corbel" w:cs="Arial"/>
                <w:sz w:val="24"/>
                <w:szCs w:val="24"/>
              </w:rPr>
              <w:t xml:space="preserve"> </w:t>
            </w:r>
            <w:r w:rsidR="009254DD" w:rsidRPr="00E54846">
              <w:rPr>
                <w:rFonts w:ascii="Corbel" w:hAnsi="Corbel" w:cs="Arial"/>
                <w:sz w:val="24"/>
                <w:szCs w:val="24"/>
              </w:rPr>
              <w:t>c</w:t>
            </w:r>
            <w:r w:rsidR="001C6FF3" w:rsidRPr="00E54846">
              <w:rPr>
                <w:rStyle w:val="legds2"/>
                <w:rFonts w:ascii="Corbel" w:hAnsi="Corbel" w:cs="Arial"/>
                <w:sz w:val="24"/>
                <w:szCs w:val="24"/>
              </w:rPr>
              <w:t>laim</w:t>
            </w:r>
            <w:r w:rsidR="009254DD" w:rsidRPr="00E54846">
              <w:rPr>
                <w:rStyle w:val="legds2"/>
                <w:rFonts w:ascii="Corbel" w:hAnsi="Corbel" w:cs="Arial"/>
                <w:sz w:val="24"/>
                <w:szCs w:val="24"/>
              </w:rPr>
              <w:t>s</w:t>
            </w:r>
            <w:r w:rsidR="001C6FF3" w:rsidRPr="00E54846">
              <w:rPr>
                <w:rStyle w:val="legds2"/>
                <w:rFonts w:ascii="Corbel" w:hAnsi="Corbel" w:cs="Arial"/>
                <w:sz w:val="24"/>
                <w:szCs w:val="24"/>
              </w:rPr>
              <w:t xml:space="preserve"> for a specified sum of money and regulated the a</w:t>
            </w:r>
            <w:r w:rsidR="001C6FF3" w:rsidRPr="00E54846">
              <w:rPr>
                <w:rFonts w:ascii="Corbel" w:hAnsi="Corbel" w:cs="Arial"/>
                <w:bCs/>
                <w:color w:val="000000"/>
                <w:sz w:val="24"/>
                <w:szCs w:val="24"/>
              </w:rPr>
              <w:t>mount of fixed commencement costs, costs on entry of judgment and</w:t>
            </w:r>
            <w:r w:rsidR="001C6FF3" w:rsidRPr="00E54846">
              <w:rPr>
                <w:rFonts w:ascii="Corbel" w:eastAsia="Times New Roman" w:hAnsi="Corbel" w:cs="Times New Roman"/>
                <w:sz w:val="24"/>
                <w:szCs w:val="24"/>
                <w:lang w:eastAsia="en-GB"/>
              </w:rPr>
              <w:t xml:space="preserve"> </w:t>
            </w:r>
            <w:r w:rsidR="001C6FF3" w:rsidRPr="00E54846">
              <w:rPr>
                <w:rStyle w:val="Emphasis"/>
                <w:rFonts w:ascii="Corbel" w:hAnsi="Corbel" w:cs="Arial"/>
                <w:i w:val="0"/>
                <w:color w:val="000000"/>
                <w:sz w:val="24"/>
                <w:szCs w:val="24"/>
              </w:rPr>
              <w:t>miscellaneous fixed costs)</w:t>
            </w:r>
            <w:r w:rsidR="001C6FF3" w:rsidRPr="00E54846">
              <w:rPr>
                <w:rFonts w:ascii="Corbel" w:eastAsia="Times New Roman" w:hAnsi="Corbel" w:cs="Times New Roman"/>
                <w:i/>
                <w:sz w:val="24"/>
                <w:szCs w:val="24"/>
                <w:lang w:eastAsia="en-GB"/>
              </w:rPr>
              <w:t>.</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Costs of detailed assessment proceedings.</w:t>
            </w:r>
          </w:p>
          <w:p w:rsidR="00283FA7" w:rsidRPr="00E54846" w:rsidRDefault="00283FA7"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Provision for inter-partes recovery of costs for Bill preparation</w:t>
            </w:r>
          </w:p>
          <w:p w:rsidR="001C6FF3" w:rsidRPr="00E54846" w:rsidRDefault="001C6FF3" w:rsidP="00E14136">
            <w:pPr>
              <w:pStyle w:val="ListParagraph"/>
              <w:numPr>
                <w:ilvl w:val="0"/>
                <w:numId w:val="2"/>
              </w:num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Appeal against decisions in detailed assessment proceedings.</w:t>
            </w:r>
          </w:p>
          <w:p w:rsidR="001C6FF3" w:rsidRPr="00E54846" w:rsidRDefault="001C6FF3" w:rsidP="00E14136">
            <w:pPr>
              <w:spacing w:after="0" w:line="240" w:lineRule="auto"/>
              <w:jc w:val="both"/>
              <w:rPr>
                <w:rFonts w:ascii="Corbel" w:eastAsia="Times New Roman" w:hAnsi="Corbel" w:cs="Times New Roman"/>
                <w:sz w:val="24"/>
                <w:szCs w:val="24"/>
                <w:lang w:eastAsia="en-GB"/>
              </w:rPr>
            </w:pPr>
          </w:p>
        </w:tc>
      </w:tr>
      <w:tr w:rsidR="001C6FF3" w:rsidRPr="00E54846" w:rsidTr="008A7CE5">
        <w:trPr>
          <w:trHeight w:val="1451"/>
        </w:trPr>
        <w:tc>
          <w:tcPr>
            <w:tcW w:w="2340" w:type="dxa"/>
            <w:tcBorders>
              <w:top w:val="nil"/>
              <w:left w:val="single" w:sz="8" w:space="0" w:color="auto"/>
              <w:bottom w:val="single" w:sz="4" w:space="0" w:color="auto"/>
              <w:right w:val="single" w:sz="8" w:space="0" w:color="auto"/>
            </w:tcBorders>
            <w:shd w:val="clear" w:color="auto" w:fill="E5B8B7" w:themeFill="accent2" w:themeFillTint="6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APRIL 2000</w:t>
            </w:r>
          </w:p>
        </w:tc>
        <w:tc>
          <w:tcPr>
            <w:tcW w:w="6902" w:type="dxa"/>
            <w:tcBorders>
              <w:top w:val="nil"/>
              <w:left w:val="nil"/>
              <w:bottom w:val="single" w:sz="4" w:space="0" w:color="auto"/>
              <w:right w:val="single" w:sz="8" w:space="0" w:color="auto"/>
            </w:tcBorders>
            <w:shd w:val="clear" w:color="auto" w:fill="E5B8B7" w:themeFill="accent2" w:themeFillTint="66"/>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bCs/>
                <w:sz w:val="24"/>
                <w:szCs w:val="24"/>
              </w:rPr>
            </w:pPr>
            <w:r w:rsidRPr="00E54846">
              <w:rPr>
                <w:rFonts w:ascii="Corbel" w:hAnsi="Corbel" w:cs="Arial"/>
                <w:bCs/>
                <w:sz w:val="24"/>
                <w:szCs w:val="24"/>
              </w:rPr>
              <w:t xml:space="preserve">The Conditional Fee Agreements Regulations 2000 came into force. </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cs="Arial"/>
                <w:bCs/>
                <w:sz w:val="24"/>
                <w:szCs w:val="24"/>
              </w:rPr>
              <w:t>It revoked T</w:t>
            </w:r>
            <w:r w:rsidRPr="00E54846">
              <w:rPr>
                <w:rFonts w:ascii="Corbel" w:hAnsi="Corbel" w:cs="Arial"/>
                <w:sz w:val="24"/>
                <w:szCs w:val="24"/>
              </w:rPr>
              <w:t>he Conditional Fee Agreements Regulations 1995 and provided requirements for contents of conditional fee agreements providing for success fee</w:t>
            </w:r>
            <w:r w:rsidR="00283FA7" w:rsidRPr="00E54846">
              <w:rPr>
                <w:rFonts w:ascii="Corbel" w:hAnsi="Corbel" w:cs="Arial"/>
                <w:sz w:val="24"/>
                <w:szCs w:val="24"/>
              </w:rPr>
              <w:t>s</w:t>
            </w:r>
            <w:r w:rsidRPr="00E54846">
              <w:rPr>
                <w:rFonts w:ascii="Corbel" w:hAnsi="Corbel" w:cs="Arial"/>
                <w:sz w:val="24"/>
                <w:szCs w:val="24"/>
              </w:rPr>
              <w:t xml:space="preserve"> and in general. </w:t>
            </w:r>
          </w:p>
        </w:tc>
      </w:tr>
      <w:tr w:rsidR="001C6FF3" w:rsidRPr="00E54846" w:rsidTr="008A7CE5">
        <w:trPr>
          <w:trHeight w:val="1555"/>
        </w:trPr>
        <w:tc>
          <w:tcPr>
            <w:tcW w:w="2340" w:type="dxa"/>
            <w:tcBorders>
              <w:top w:val="single" w:sz="4" w:space="0" w:color="auto"/>
              <w:left w:val="single" w:sz="8" w:space="0" w:color="auto"/>
              <w:bottom w:val="single" w:sz="4" w:space="0" w:color="auto"/>
              <w:right w:val="single" w:sz="8" w:space="0" w:color="auto"/>
            </w:tcBorders>
            <w:shd w:val="clear" w:color="auto" w:fill="D6E3BC" w:themeFill="accent3" w:themeFillTint="6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3</w:t>
            </w:r>
            <w:r w:rsidRPr="00E54846">
              <w:rPr>
                <w:rFonts w:ascii="Corbel" w:eastAsia="Times New Roman" w:hAnsi="Corbel" w:cs="Times New Roman"/>
                <w:sz w:val="24"/>
                <w:szCs w:val="24"/>
                <w:vertAlign w:val="superscript"/>
                <w:lang w:eastAsia="en-GB"/>
              </w:rPr>
              <w:t>RD</w:t>
            </w:r>
            <w:r w:rsidRPr="00E54846">
              <w:rPr>
                <w:rFonts w:ascii="Corbel" w:eastAsia="Times New Roman" w:hAnsi="Corbel" w:cs="Times New Roman"/>
                <w:sz w:val="24"/>
                <w:szCs w:val="24"/>
                <w:lang w:eastAsia="en-GB"/>
              </w:rPr>
              <w:t xml:space="preserve"> JUNE 2000</w:t>
            </w:r>
          </w:p>
        </w:tc>
        <w:tc>
          <w:tcPr>
            <w:tcW w:w="6902" w:type="dxa"/>
            <w:tcBorders>
              <w:top w:val="single" w:sz="4" w:space="0" w:color="auto"/>
              <w:left w:val="nil"/>
              <w:bottom w:val="single" w:sz="4" w:space="0" w:color="auto"/>
              <w:right w:val="single" w:sz="8" w:space="0" w:color="auto"/>
            </w:tcBorders>
            <w:shd w:val="clear" w:color="auto" w:fill="D6E3BC" w:themeFill="accent3" w:themeFillTint="66"/>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bCs/>
                <w:sz w:val="24"/>
                <w:szCs w:val="24"/>
              </w:rPr>
            </w:pPr>
            <w:r w:rsidRPr="00E54846">
              <w:rPr>
                <w:rFonts w:ascii="Corbel" w:hAnsi="Corbel" w:cs="Arial"/>
                <w:bCs/>
                <w:sz w:val="24"/>
                <w:szCs w:val="24"/>
              </w:rPr>
              <w:t xml:space="preserve">The Civil Procedure (Amendment No. 3) Rules 2000. </w:t>
            </w:r>
          </w:p>
          <w:p w:rsidR="001C6FF3" w:rsidRPr="00E54846" w:rsidRDefault="001C6FF3" w:rsidP="00E14136">
            <w:pPr>
              <w:spacing w:line="240" w:lineRule="auto"/>
              <w:jc w:val="both"/>
              <w:rPr>
                <w:rFonts w:ascii="Corbel" w:hAnsi="Corbel" w:cs="Arial"/>
                <w:bCs/>
                <w:sz w:val="24"/>
                <w:szCs w:val="24"/>
              </w:rPr>
            </w:pPr>
            <w:r w:rsidRPr="00E54846">
              <w:rPr>
                <w:rFonts w:ascii="Corbel" w:hAnsi="Corbel" w:cs="Arial"/>
                <w:bCs/>
                <w:sz w:val="24"/>
                <w:szCs w:val="24"/>
              </w:rPr>
              <w:t>The rule came into force that the relevant information regarding funding arrangement must be provided to the Court and to other parties.</w:t>
            </w:r>
            <w:r w:rsidRPr="00E54846">
              <w:rPr>
                <w:rStyle w:val="legamendingtext"/>
                <w:rFonts w:ascii="Corbel" w:hAnsi="Corbel" w:cs="Arial"/>
                <w:sz w:val="24"/>
                <w:szCs w:val="24"/>
              </w:rPr>
              <w:t xml:space="preserve"> Where the funding arrangement has changed a notice of the change must be filed and served within 7 days.</w:t>
            </w:r>
          </w:p>
        </w:tc>
      </w:tr>
      <w:tr w:rsidR="001C6FF3" w:rsidRPr="00E54846" w:rsidTr="008A7CE5">
        <w:trPr>
          <w:trHeight w:val="760"/>
        </w:trPr>
        <w:tc>
          <w:tcPr>
            <w:tcW w:w="2340" w:type="dxa"/>
            <w:tcBorders>
              <w:top w:val="single" w:sz="4" w:space="0" w:color="auto"/>
              <w:left w:val="single" w:sz="8" w:space="0" w:color="auto"/>
              <w:bottom w:val="single" w:sz="4" w:space="0" w:color="auto"/>
              <w:right w:val="single" w:sz="8" w:space="0" w:color="auto"/>
            </w:tcBorders>
            <w:shd w:val="clear" w:color="auto" w:fill="B6DDE8" w:themeFill="accent5" w:themeFillTint="6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25</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MARCH 2002</w:t>
            </w:r>
          </w:p>
        </w:tc>
        <w:tc>
          <w:tcPr>
            <w:tcW w:w="6902" w:type="dxa"/>
            <w:tcBorders>
              <w:top w:val="single" w:sz="4" w:space="0" w:color="auto"/>
              <w:left w:val="nil"/>
              <w:bottom w:val="single" w:sz="4" w:space="0" w:color="auto"/>
              <w:right w:val="single" w:sz="8" w:space="0" w:color="auto"/>
            </w:tcBorders>
            <w:shd w:val="clear" w:color="auto" w:fill="B6DDE8" w:themeFill="accent5" w:themeFillTint="66"/>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 xml:space="preserve">The Civil Procedure (Amendment No. 5) Rules 2001. </w:t>
            </w:r>
          </w:p>
          <w:p w:rsidR="001C6FF3" w:rsidRPr="00E54846" w:rsidRDefault="001C6FF3" w:rsidP="00E14136">
            <w:pPr>
              <w:spacing w:line="240" w:lineRule="auto"/>
              <w:jc w:val="both"/>
              <w:rPr>
                <w:rFonts w:ascii="Corbel" w:hAnsi="Corbel" w:cs="Arial"/>
                <w:bCs/>
                <w:sz w:val="24"/>
                <w:szCs w:val="24"/>
              </w:rPr>
            </w:pPr>
            <w:r w:rsidRPr="00E54846">
              <w:rPr>
                <w:rFonts w:ascii="Corbel" w:hAnsi="Corbel" w:cs="Arial"/>
                <w:sz w:val="24"/>
                <w:szCs w:val="24"/>
              </w:rPr>
              <w:t>The rule regarding Fixed Enforcement Costs came into force.</w:t>
            </w:r>
          </w:p>
        </w:tc>
      </w:tr>
      <w:tr w:rsidR="001C6FF3" w:rsidRPr="00E54846" w:rsidTr="008A7CE5">
        <w:trPr>
          <w:trHeight w:val="518"/>
        </w:trPr>
        <w:tc>
          <w:tcPr>
            <w:tcW w:w="2340" w:type="dxa"/>
            <w:tcBorders>
              <w:top w:val="single" w:sz="4" w:space="0" w:color="auto"/>
              <w:left w:val="single" w:sz="8" w:space="0" w:color="auto"/>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lastRenderedPageBreak/>
              <w:t>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OCTOBER 2003</w:t>
            </w:r>
          </w:p>
        </w:tc>
        <w:tc>
          <w:tcPr>
            <w:tcW w:w="6902" w:type="dxa"/>
            <w:tcBorders>
              <w:top w:val="single" w:sz="4" w:space="0" w:color="auto"/>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No. 4) Rules 2003.</w:t>
            </w:r>
          </w:p>
          <w:p w:rsidR="001C6FF3" w:rsidRPr="00E54846" w:rsidRDefault="001C6FF3" w:rsidP="00E14136">
            <w:pPr>
              <w:spacing w:line="240" w:lineRule="auto"/>
              <w:jc w:val="both"/>
              <w:rPr>
                <w:rFonts w:ascii="Corbel" w:hAnsi="Corbel" w:cs="Arial"/>
                <w:sz w:val="24"/>
                <w:szCs w:val="24"/>
                <w:lang w:val="en-US"/>
              </w:rPr>
            </w:pPr>
            <w:r w:rsidRPr="00E54846">
              <w:rPr>
                <w:rFonts w:ascii="Corbel" w:hAnsi="Corbel" w:cs="Cambria"/>
                <w:sz w:val="24"/>
                <w:szCs w:val="24"/>
              </w:rPr>
              <w:t>Often called “predictable costs” the fixed RTA costs regime came into force. They applied to RTA claims where the damages claimed included personal injury, damage to property (or both), the value of the damages was between £1,000 and £10,000 and where proceedings were not issued.</w:t>
            </w:r>
          </w:p>
        </w:tc>
      </w:tr>
      <w:tr w:rsidR="001C6FF3" w:rsidRPr="00E54846" w:rsidTr="008A7CE5">
        <w:tc>
          <w:tcPr>
            <w:tcW w:w="2340" w:type="dxa"/>
            <w:tcBorders>
              <w:top w:val="nil"/>
              <w:left w:val="single" w:sz="8" w:space="0" w:color="auto"/>
              <w:bottom w:val="single" w:sz="8" w:space="0" w:color="auto"/>
              <w:right w:val="single" w:sz="8" w:space="0" w:color="auto"/>
            </w:tcBorders>
            <w:shd w:val="clear" w:color="auto" w:fill="92CDDC" w:themeFill="accent5"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JUNE 2004 </w:t>
            </w:r>
          </w:p>
        </w:tc>
        <w:tc>
          <w:tcPr>
            <w:tcW w:w="6902" w:type="dxa"/>
            <w:tcBorders>
              <w:top w:val="nil"/>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hideMark/>
          </w:tcPr>
          <w:p w:rsidR="001C6FF3" w:rsidRPr="00E54846" w:rsidRDefault="001C6FF3" w:rsidP="00E14136">
            <w:pPr>
              <w:spacing w:line="240" w:lineRule="auto"/>
              <w:jc w:val="both"/>
              <w:rPr>
                <w:rFonts w:ascii="Corbel" w:hAnsi="Corbel"/>
                <w:sz w:val="24"/>
                <w:szCs w:val="24"/>
              </w:rPr>
            </w:pPr>
            <w:r w:rsidRPr="00E54846">
              <w:rPr>
                <w:rFonts w:ascii="Corbel" w:hAnsi="Corbel" w:cs="Arial"/>
                <w:sz w:val="24"/>
                <w:szCs w:val="24"/>
              </w:rPr>
              <w:t>The Civil Procedure (Amendment) Rules 2004.</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sz w:val="24"/>
                <w:szCs w:val="24"/>
              </w:rPr>
              <w:t>Fixed recoverable success fees for road traffic accident claims were introduced.</w:t>
            </w:r>
          </w:p>
        </w:tc>
      </w:tr>
      <w:tr w:rsidR="001C6FF3" w:rsidRPr="00E54846" w:rsidTr="008A7CE5">
        <w:trPr>
          <w:trHeight w:val="1117"/>
        </w:trPr>
        <w:tc>
          <w:tcPr>
            <w:tcW w:w="2340" w:type="dxa"/>
            <w:tcBorders>
              <w:top w:val="nil"/>
              <w:left w:val="single" w:sz="8" w:space="0" w:color="auto"/>
              <w:bottom w:val="single" w:sz="4" w:space="0" w:color="auto"/>
              <w:right w:val="single" w:sz="8" w:space="0" w:color="auto"/>
            </w:tcBorders>
            <w:shd w:val="clear" w:color="auto" w:fill="FABF8F" w:themeFill="accent6"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2004 </w:t>
            </w:r>
          </w:p>
        </w:tc>
        <w:tc>
          <w:tcPr>
            <w:tcW w:w="6902" w:type="dxa"/>
            <w:tcBorders>
              <w:top w:val="nil"/>
              <w:left w:val="nil"/>
              <w:bottom w:val="single" w:sz="4" w:space="0" w:color="auto"/>
              <w:right w:val="single" w:sz="8" w:space="0" w:color="auto"/>
            </w:tcBorders>
            <w:shd w:val="clear" w:color="auto" w:fill="FABF8F" w:themeFill="accent6" w:themeFillTint="99"/>
            <w:tcMar>
              <w:top w:w="0" w:type="dxa"/>
              <w:left w:w="108" w:type="dxa"/>
              <w:bottom w:w="0" w:type="dxa"/>
              <w:right w:w="108" w:type="dxa"/>
            </w:tcMar>
            <w:hideMark/>
          </w:tcPr>
          <w:p w:rsidR="001C6FF3" w:rsidRPr="00E54846" w:rsidRDefault="001C6FF3" w:rsidP="00E14136">
            <w:pPr>
              <w:spacing w:line="240" w:lineRule="auto"/>
              <w:jc w:val="both"/>
              <w:rPr>
                <w:rFonts w:ascii="Corbel" w:hAnsi="Corbel"/>
                <w:sz w:val="24"/>
                <w:szCs w:val="24"/>
              </w:rPr>
            </w:pPr>
            <w:r w:rsidRPr="00E54846">
              <w:rPr>
                <w:rFonts w:ascii="Corbel" w:hAnsi="Corbel" w:cs="Arial"/>
                <w:sz w:val="24"/>
                <w:szCs w:val="24"/>
              </w:rPr>
              <w:t>The Civil Procedure (Amendment No.2) Rules 2004.</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sz w:val="24"/>
                <w:szCs w:val="24"/>
              </w:rPr>
              <w:t>Fixed recoverable success fees for Employer’s Liability cases were introduced.</w:t>
            </w:r>
          </w:p>
        </w:tc>
      </w:tr>
      <w:tr w:rsidR="001C6FF3" w:rsidRPr="00E54846" w:rsidTr="008A7CE5">
        <w:trPr>
          <w:trHeight w:val="2292"/>
        </w:trPr>
        <w:tc>
          <w:tcPr>
            <w:tcW w:w="2340" w:type="dxa"/>
            <w:tcBorders>
              <w:top w:val="single" w:sz="4" w:space="0" w:color="auto"/>
              <w:left w:val="single" w:sz="8" w:space="0" w:color="auto"/>
              <w:bottom w:val="single" w:sz="4" w:space="0" w:color="auto"/>
              <w:right w:val="single" w:sz="8" w:space="0" w:color="auto"/>
            </w:tcBorders>
            <w:shd w:val="clear" w:color="auto" w:fill="DDD9C3" w:themeFill="background2" w:themeFillShade="E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APRIL 2005</w:t>
            </w:r>
          </w:p>
        </w:tc>
        <w:tc>
          <w:tcPr>
            <w:tcW w:w="6902" w:type="dxa"/>
            <w:tcBorders>
              <w:top w:val="single" w:sz="4" w:space="0" w:color="auto"/>
              <w:left w:val="nil"/>
              <w:bottom w:val="single" w:sz="4" w:space="0" w:color="auto"/>
              <w:right w:val="single" w:sz="8" w:space="0" w:color="auto"/>
            </w:tcBorders>
            <w:shd w:val="clear" w:color="auto" w:fill="DDD9C3" w:themeFill="background2" w:themeFillShade="E6"/>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No. 4) Rules 2004.</w:t>
            </w:r>
          </w:p>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 xml:space="preserve">Further rules regarding fixed costs are introduced </w:t>
            </w:r>
            <w:r w:rsidRPr="00E54846">
              <w:rPr>
                <w:rFonts w:ascii="Corbel" w:hAnsi="Corbel"/>
                <w:sz w:val="24"/>
                <w:szCs w:val="24"/>
              </w:rPr>
              <w:t xml:space="preserve">(amount of fixed commencement costs in a claim for the recovery of money or goods, in a claim for the recovery of land or a demotion claim, costs on entry of judgment in a claim for the recovery of money or goods, etc). In RTA claims fixed recoverable costs applies in </w:t>
            </w:r>
            <w:r w:rsidRPr="00E54846">
              <w:rPr>
                <w:rStyle w:val="legamendingtext"/>
                <w:rFonts w:ascii="Corbel" w:hAnsi="Corbel" w:cs="Arial"/>
                <w:sz w:val="24"/>
                <w:szCs w:val="24"/>
              </w:rPr>
              <w:t>costs-only proceedings and in</w:t>
            </w:r>
            <w:r w:rsidRPr="00E54846">
              <w:rPr>
                <w:rFonts w:ascii="Corbel" w:hAnsi="Corbel"/>
                <w:sz w:val="24"/>
                <w:szCs w:val="24"/>
              </w:rPr>
              <w:t xml:space="preserve"> </w:t>
            </w:r>
            <w:r w:rsidRPr="00E54846">
              <w:rPr>
                <w:rStyle w:val="legamendingtext"/>
                <w:rFonts w:ascii="Corbel" w:hAnsi="Corbel" w:cs="Arial"/>
                <w:sz w:val="24"/>
                <w:szCs w:val="24"/>
              </w:rPr>
              <w:t>proceedings for approval of a settlement or compromise.</w:t>
            </w:r>
          </w:p>
        </w:tc>
      </w:tr>
      <w:tr w:rsidR="001C6FF3" w:rsidRPr="00E54846" w:rsidTr="008A7CE5">
        <w:trPr>
          <w:trHeight w:val="668"/>
        </w:trPr>
        <w:tc>
          <w:tcPr>
            <w:tcW w:w="2340" w:type="dxa"/>
            <w:tcBorders>
              <w:top w:val="single" w:sz="4"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2005</w:t>
            </w:r>
          </w:p>
        </w:tc>
        <w:tc>
          <w:tcPr>
            <w:tcW w:w="6902" w:type="dxa"/>
            <w:tcBorders>
              <w:top w:val="single" w:sz="4" w:space="0" w:color="auto"/>
              <w:left w:val="nil"/>
              <w:bottom w:val="single" w:sz="8" w:space="0" w:color="auto"/>
              <w:right w:val="single" w:sz="8" w:space="0" w:color="auto"/>
            </w:tcBorders>
            <w:shd w:val="clear" w:color="auto" w:fill="FFFF00"/>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No.3) Rules 2005.</w:t>
            </w:r>
          </w:p>
          <w:p w:rsidR="001C6FF3" w:rsidRPr="00E54846" w:rsidRDefault="001C6FF3" w:rsidP="00E14136">
            <w:pPr>
              <w:spacing w:line="240" w:lineRule="auto"/>
              <w:jc w:val="both"/>
              <w:rPr>
                <w:rFonts w:ascii="Corbel" w:hAnsi="Corbel" w:cs="Arial"/>
                <w:sz w:val="24"/>
                <w:szCs w:val="24"/>
              </w:rPr>
            </w:pPr>
            <w:r w:rsidRPr="00E54846">
              <w:rPr>
                <w:rFonts w:ascii="Corbel" w:hAnsi="Corbel"/>
                <w:sz w:val="24"/>
                <w:szCs w:val="24"/>
              </w:rPr>
              <w:t>Fixed recoverable success fees for Employer’s Liability disease claims were introduced.</w:t>
            </w:r>
          </w:p>
        </w:tc>
      </w:tr>
      <w:tr w:rsidR="001C6FF3" w:rsidRPr="00E54846" w:rsidTr="008A7CE5">
        <w:trPr>
          <w:trHeight w:val="2154"/>
        </w:trPr>
        <w:tc>
          <w:tcPr>
            <w:tcW w:w="2340" w:type="dxa"/>
            <w:tcBorders>
              <w:top w:val="nil"/>
              <w:left w:val="single" w:sz="8" w:space="0" w:color="auto"/>
              <w:bottom w:val="single" w:sz="4" w:space="0" w:color="auto"/>
              <w:right w:val="single" w:sz="8" w:space="0" w:color="auto"/>
            </w:tcBorders>
            <w:shd w:val="clear" w:color="auto" w:fill="95B3D7" w:themeFill="accent1"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NOVEMBER 2005 </w:t>
            </w:r>
          </w:p>
        </w:tc>
        <w:tc>
          <w:tcPr>
            <w:tcW w:w="6902" w:type="dxa"/>
            <w:tcBorders>
              <w:top w:val="nil"/>
              <w:left w:val="nil"/>
              <w:bottom w:val="single" w:sz="4" w:space="0" w:color="auto"/>
              <w:right w:val="single" w:sz="8" w:space="0" w:color="auto"/>
            </w:tcBorders>
            <w:shd w:val="clear" w:color="auto" w:fill="95B3D7" w:themeFill="accent1" w:themeFillTint="99"/>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color w:val="000000"/>
                <w:kern w:val="36"/>
                <w:sz w:val="24"/>
                <w:szCs w:val="24"/>
              </w:rPr>
            </w:pPr>
            <w:r w:rsidRPr="00E54846">
              <w:rPr>
                <w:rFonts w:ascii="Corbel" w:hAnsi="Corbel" w:cs="Arial"/>
                <w:color w:val="000000"/>
                <w:kern w:val="36"/>
                <w:sz w:val="24"/>
                <w:szCs w:val="24"/>
              </w:rPr>
              <w:t>The Conditional Fee Agreements (Revocation) Regulations 2005 came into force.</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cs="Arial"/>
                <w:bCs/>
                <w:sz w:val="24"/>
                <w:szCs w:val="24"/>
              </w:rPr>
              <w:t>It revoked The Conditional Fee Agreements Regulations 2000.</w:t>
            </w:r>
            <w:r w:rsidRPr="00E54846">
              <w:rPr>
                <w:rFonts w:ascii="Corbel" w:hAnsi="Corbel" w:cs="Arial"/>
                <w:sz w:val="24"/>
                <w:szCs w:val="24"/>
              </w:rPr>
              <w:t xml:space="preserve"> Parties may enter into Conditional Fee Agreements and Collective Conditional Fee Agreements on or after that date based on the primary legislation (</w:t>
            </w:r>
            <w:r w:rsidRPr="00E54846">
              <w:rPr>
                <w:rFonts w:ascii="Corbel" w:hAnsi="Corbel" w:cs="Frutiger-Light"/>
                <w:sz w:val="24"/>
                <w:szCs w:val="24"/>
              </w:rPr>
              <w:t>section 58 of the Courts and Legal Services Act 1990 (as amended by s.27 of the Access to Justice Act 1999)).</w:t>
            </w:r>
          </w:p>
        </w:tc>
      </w:tr>
      <w:tr w:rsidR="001C6FF3" w:rsidRPr="00E54846" w:rsidTr="008A7CE5">
        <w:trPr>
          <w:trHeight w:val="1670"/>
        </w:trPr>
        <w:tc>
          <w:tcPr>
            <w:tcW w:w="2340" w:type="dxa"/>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2007</w:t>
            </w:r>
          </w:p>
        </w:tc>
        <w:tc>
          <w:tcPr>
            <w:tcW w:w="6902" w:type="dxa"/>
            <w:tcBorders>
              <w:top w:val="single" w:sz="4" w:space="0" w:color="auto"/>
              <w:left w:val="nil"/>
              <w:bottom w:val="single" w:sz="4" w:space="0" w:color="auto"/>
              <w:right w:val="single" w:sz="8" w:space="0" w:color="auto"/>
            </w:tcBorders>
            <w:shd w:val="clear" w:color="auto" w:fill="D9D9D9" w:themeFill="background1" w:themeFillShade="D9"/>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No.3) Rules 2006.</w:t>
            </w:r>
          </w:p>
          <w:p w:rsidR="001C6FF3" w:rsidRPr="00E54846" w:rsidRDefault="001C6FF3" w:rsidP="00E14136">
            <w:pPr>
              <w:spacing w:line="240" w:lineRule="auto"/>
              <w:jc w:val="both"/>
              <w:rPr>
                <w:rFonts w:ascii="Corbel" w:hAnsi="Corbel" w:cs="Arial"/>
                <w:color w:val="000000"/>
                <w:kern w:val="36"/>
                <w:sz w:val="24"/>
                <w:szCs w:val="24"/>
              </w:rPr>
            </w:pPr>
            <w:r w:rsidRPr="00E54846">
              <w:rPr>
                <w:rFonts w:ascii="Corbel" w:hAnsi="Corbel" w:cs="Arial"/>
                <w:sz w:val="24"/>
                <w:szCs w:val="24"/>
              </w:rPr>
              <w:t>New rules came into force regarding Part 36 Offer (its form and content, costs consequences of acceptance of a Part 36 offer, the effect of acceptance of a Part 36 offer, costs consequences following judgment, etc).</w:t>
            </w:r>
          </w:p>
        </w:tc>
      </w:tr>
      <w:tr w:rsidR="001C6FF3" w:rsidRPr="00E54846" w:rsidTr="008A7CE5">
        <w:trPr>
          <w:trHeight w:val="679"/>
        </w:trPr>
        <w:tc>
          <w:tcPr>
            <w:tcW w:w="2340" w:type="dxa"/>
            <w:tcBorders>
              <w:top w:val="single" w:sz="4" w:space="0" w:color="auto"/>
              <w:left w:val="single" w:sz="8" w:space="0" w:color="auto"/>
              <w:bottom w:val="single" w:sz="4" w:space="0" w:color="auto"/>
              <w:right w:val="single" w:sz="8" w:space="0" w:color="auto"/>
            </w:tcBorders>
            <w:shd w:val="clear" w:color="auto" w:fill="C6D9F1" w:themeFill="text2" w:themeFillTint="33"/>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lastRenderedPageBreak/>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2008</w:t>
            </w:r>
          </w:p>
        </w:tc>
        <w:tc>
          <w:tcPr>
            <w:tcW w:w="6902" w:type="dxa"/>
            <w:tcBorders>
              <w:top w:val="single" w:sz="4" w:space="0" w:color="auto"/>
              <w:left w:val="nil"/>
              <w:bottom w:val="single" w:sz="4" w:space="0" w:color="auto"/>
              <w:right w:val="single" w:sz="8" w:space="0" w:color="auto"/>
            </w:tcBorders>
            <w:shd w:val="clear" w:color="auto" w:fill="C6D9F1" w:themeFill="text2" w:themeFillTint="33"/>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Rules 2008 introduced a lot of changes regarding service of documents (Part 6).</w:t>
            </w:r>
          </w:p>
        </w:tc>
      </w:tr>
      <w:tr w:rsidR="001C6FF3" w:rsidRPr="00E54846" w:rsidTr="008A7CE5">
        <w:trPr>
          <w:trHeight w:val="956"/>
        </w:trPr>
        <w:tc>
          <w:tcPr>
            <w:tcW w:w="2340" w:type="dxa"/>
            <w:tcBorders>
              <w:top w:val="single" w:sz="4" w:space="0" w:color="auto"/>
              <w:left w:val="single" w:sz="8" w:space="0" w:color="auto"/>
              <w:bottom w:val="single" w:sz="4" w:space="0" w:color="auto"/>
              <w:right w:val="single" w:sz="8" w:space="0" w:color="auto"/>
            </w:tcBorders>
            <w:shd w:val="clear" w:color="auto" w:fill="F2DBDB" w:themeFill="accent2" w:themeFillTint="33"/>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2009</w:t>
            </w:r>
          </w:p>
        </w:tc>
        <w:tc>
          <w:tcPr>
            <w:tcW w:w="6902" w:type="dxa"/>
            <w:tcBorders>
              <w:top w:val="single" w:sz="4" w:space="0" w:color="auto"/>
              <w:left w:val="nil"/>
              <w:bottom w:val="single" w:sz="4" w:space="0" w:color="auto"/>
              <w:right w:val="single" w:sz="8" w:space="0" w:color="auto"/>
            </w:tcBorders>
            <w:shd w:val="clear" w:color="auto" w:fill="F2DBDB" w:themeFill="accent2" w:themeFillTint="33"/>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No.3) Rules 2008.</w:t>
            </w:r>
          </w:p>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 xml:space="preserve">The regulations regarding costs capping orders, which could limited </w:t>
            </w:r>
            <w:r w:rsidRPr="00E54846">
              <w:rPr>
                <w:rStyle w:val="legamendingtext"/>
                <w:rFonts w:ascii="Corbel" w:hAnsi="Corbel" w:cs="Arial"/>
                <w:sz w:val="24"/>
                <w:szCs w:val="24"/>
              </w:rPr>
              <w:t xml:space="preserve">the amount of future costs (including disbursements), </w:t>
            </w:r>
            <w:r w:rsidRPr="00E54846">
              <w:rPr>
                <w:rFonts w:ascii="Corbel" w:hAnsi="Corbel" w:cs="Arial"/>
                <w:sz w:val="24"/>
                <w:szCs w:val="24"/>
              </w:rPr>
              <w:t>came into force.</w:t>
            </w:r>
          </w:p>
        </w:tc>
      </w:tr>
      <w:tr w:rsidR="001C6FF3" w:rsidRPr="00E54846" w:rsidTr="008A7CE5">
        <w:trPr>
          <w:trHeight w:val="4826"/>
        </w:trPr>
        <w:tc>
          <w:tcPr>
            <w:tcW w:w="2340" w:type="dxa"/>
            <w:tcBorders>
              <w:top w:val="single" w:sz="4" w:space="0" w:color="auto"/>
              <w:left w:val="single" w:sz="8" w:space="0" w:color="auto"/>
              <w:bottom w:val="single" w:sz="4" w:space="0" w:color="auto"/>
              <w:right w:val="single" w:sz="8" w:space="0" w:color="auto"/>
            </w:tcBorders>
            <w:shd w:val="clear" w:color="auto" w:fill="EAF1DD" w:themeFill="accent3" w:themeFillTint="33"/>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2009</w:t>
            </w:r>
          </w:p>
        </w:tc>
        <w:tc>
          <w:tcPr>
            <w:tcW w:w="6902" w:type="dxa"/>
            <w:tcBorders>
              <w:top w:val="single" w:sz="4" w:space="0" w:color="auto"/>
              <w:left w:val="nil"/>
              <w:bottom w:val="single" w:sz="4" w:space="0" w:color="auto"/>
              <w:right w:val="single" w:sz="8" w:space="0" w:color="auto"/>
            </w:tcBorders>
            <w:shd w:val="clear" w:color="auto" w:fill="EAF1DD" w:themeFill="accent3" w:themeFillTint="33"/>
            <w:tcMar>
              <w:top w:w="0" w:type="dxa"/>
              <w:left w:w="108" w:type="dxa"/>
              <w:bottom w:w="0" w:type="dxa"/>
              <w:right w:w="108" w:type="dxa"/>
            </w:tcMar>
            <w:hideMark/>
          </w:tcPr>
          <w:p w:rsidR="001C6FF3" w:rsidRPr="00E54846" w:rsidRDefault="001C6FF3" w:rsidP="00E14136">
            <w:pPr>
              <w:spacing w:line="240" w:lineRule="auto"/>
              <w:jc w:val="both"/>
              <w:rPr>
                <w:rFonts w:ascii="Corbel" w:hAnsi="Corbel"/>
                <w:sz w:val="24"/>
                <w:szCs w:val="24"/>
              </w:rPr>
            </w:pPr>
            <w:r w:rsidRPr="00E54846">
              <w:rPr>
                <w:rFonts w:ascii="Corbel" w:hAnsi="Corbel" w:cs="Arial"/>
                <w:sz w:val="24"/>
                <w:szCs w:val="24"/>
              </w:rPr>
              <w:t>The Civil Procedure (Amendment) Rules 2009.</w:t>
            </w:r>
            <w:r w:rsidRPr="00E54846">
              <w:rPr>
                <w:rFonts w:ascii="Corbel" w:hAnsi="Corbel"/>
                <w:sz w:val="24"/>
                <w:szCs w:val="24"/>
              </w:rPr>
              <w:t xml:space="preserve"> </w:t>
            </w:r>
          </w:p>
          <w:p w:rsidR="001C6FF3" w:rsidRPr="00E54846" w:rsidRDefault="001C6FF3" w:rsidP="00E14136">
            <w:pPr>
              <w:spacing w:line="240" w:lineRule="auto"/>
              <w:jc w:val="both"/>
              <w:rPr>
                <w:rFonts w:ascii="Corbel" w:hAnsi="Corbel"/>
                <w:sz w:val="24"/>
                <w:szCs w:val="24"/>
              </w:rPr>
            </w:pPr>
            <w:r w:rsidRPr="00E54846">
              <w:rPr>
                <w:rFonts w:ascii="Corbel" w:hAnsi="Corbel"/>
                <w:sz w:val="24"/>
                <w:szCs w:val="24"/>
              </w:rPr>
              <w:t>Changes to the Costs Practice Direction and the Practice Direction (Pre-Action Conduct) came into force. The changes apply to additional liabilities entered into from 1 October 2009.</w:t>
            </w:r>
          </w:p>
          <w:p w:rsidR="001C6FF3" w:rsidRPr="00E54846" w:rsidRDefault="001C6FF3" w:rsidP="00E14136">
            <w:pPr>
              <w:spacing w:line="240" w:lineRule="auto"/>
              <w:jc w:val="both"/>
              <w:rPr>
                <w:rFonts w:ascii="Corbel" w:hAnsi="Corbel"/>
                <w:sz w:val="24"/>
                <w:szCs w:val="24"/>
              </w:rPr>
            </w:pPr>
            <w:r w:rsidRPr="00E54846">
              <w:rPr>
                <w:rFonts w:ascii="Corbel" w:hAnsi="Corbel" w:cs="Arial"/>
                <w:sz w:val="24"/>
                <w:szCs w:val="24"/>
              </w:rPr>
              <w:t>Pre-issue notice of funding must be provided.</w:t>
            </w:r>
          </w:p>
          <w:p w:rsidR="001C6FF3" w:rsidRPr="00E54846" w:rsidRDefault="001C6FF3" w:rsidP="00E14136">
            <w:pPr>
              <w:spacing w:line="240" w:lineRule="auto"/>
              <w:jc w:val="both"/>
              <w:rPr>
                <w:rFonts w:ascii="Corbel" w:hAnsi="Corbel"/>
                <w:sz w:val="24"/>
                <w:szCs w:val="24"/>
              </w:rPr>
            </w:pPr>
            <w:r w:rsidRPr="00E54846">
              <w:rPr>
                <w:rFonts w:ascii="Corbel" w:hAnsi="Corbel"/>
                <w:sz w:val="24"/>
                <w:szCs w:val="24"/>
              </w:rPr>
              <w:t>Previously, it was recommended that parties advise their opponents of the existence of an additional liability i.e. ATE Insurance Policy, Conditional Fee Agreement or undertaking from a membership body. However, this was not mandatory until proceedings were issued by which point notice would be given by way of form N251 (Notice of Funding).</w:t>
            </w:r>
          </w:p>
          <w:p w:rsidR="001C6FF3" w:rsidRPr="00E54846" w:rsidRDefault="001C6FF3" w:rsidP="00E14136">
            <w:pPr>
              <w:spacing w:line="240" w:lineRule="auto"/>
              <w:jc w:val="both"/>
              <w:rPr>
                <w:rFonts w:ascii="Corbel" w:hAnsi="Corbel" w:cs="Arial"/>
                <w:sz w:val="24"/>
                <w:szCs w:val="24"/>
              </w:rPr>
            </w:pPr>
            <w:r w:rsidRPr="00E54846">
              <w:rPr>
                <w:rFonts w:ascii="Corbel" w:hAnsi="Corbel"/>
                <w:sz w:val="24"/>
                <w:szCs w:val="24"/>
              </w:rPr>
              <w:t xml:space="preserve">From 1 October 2009 it is necessary to inform other parties about the existence of an ATE Insurance premium and CFA as soon as possible and in any event within 7 days of entering into the funding agreement.  If the CFA or the ATE Insurance is entered into before the </w:t>
            </w:r>
            <w:r w:rsidR="007D2BDB" w:rsidRPr="00E54846">
              <w:rPr>
                <w:rFonts w:ascii="Corbel" w:hAnsi="Corbel"/>
                <w:sz w:val="24"/>
                <w:szCs w:val="24"/>
              </w:rPr>
              <w:t>L</w:t>
            </w:r>
            <w:r w:rsidRPr="00E54846">
              <w:rPr>
                <w:rFonts w:ascii="Corbel" w:hAnsi="Corbel"/>
                <w:sz w:val="24"/>
                <w:szCs w:val="24"/>
              </w:rPr>
              <w:t xml:space="preserve">etter of </w:t>
            </w:r>
            <w:r w:rsidR="007D2BDB" w:rsidRPr="00E54846">
              <w:rPr>
                <w:rFonts w:ascii="Corbel" w:hAnsi="Corbel"/>
                <w:sz w:val="24"/>
                <w:szCs w:val="24"/>
              </w:rPr>
              <w:t>C</w:t>
            </w:r>
            <w:r w:rsidRPr="00E54846">
              <w:rPr>
                <w:rFonts w:ascii="Corbel" w:hAnsi="Corbel"/>
                <w:sz w:val="24"/>
                <w:szCs w:val="24"/>
              </w:rPr>
              <w:t xml:space="preserve">laim is sent, then the parties must be advised in the </w:t>
            </w:r>
            <w:r w:rsidR="007D2BDB" w:rsidRPr="00E54846">
              <w:rPr>
                <w:rFonts w:ascii="Corbel" w:hAnsi="Corbel"/>
                <w:sz w:val="24"/>
                <w:szCs w:val="24"/>
              </w:rPr>
              <w:t>L</w:t>
            </w:r>
            <w:r w:rsidRPr="00E54846">
              <w:rPr>
                <w:rFonts w:ascii="Corbel" w:hAnsi="Corbel"/>
                <w:sz w:val="24"/>
                <w:szCs w:val="24"/>
              </w:rPr>
              <w:t xml:space="preserve">etter of </w:t>
            </w:r>
            <w:r w:rsidR="007D2BDB" w:rsidRPr="00E54846">
              <w:rPr>
                <w:rFonts w:ascii="Corbel" w:hAnsi="Corbel"/>
                <w:sz w:val="24"/>
                <w:szCs w:val="24"/>
              </w:rPr>
              <w:t>C</w:t>
            </w:r>
            <w:r w:rsidRPr="00E54846">
              <w:rPr>
                <w:rFonts w:ascii="Corbel" w:hAnsi="Corbel"/>
                <w:sz w:val="24"/>
                <w:szCs w:val="24"/>
              </w:rPr>
              <w:t>laim.</w:t>
            </w:r>
          </w:p>
        </w:tc>
      </w:tr>
      <w:tr w:rsidR="001C6FF3" w:rsidRPr="00E54846" w:rsidTr="008A7CE5">
        <w:trPr>
          <w:trHeight w:val="1774"/>
        </w:trPr>
        <w:tc>
          <w:tcPr>
            <w:tcW w:w="2340" w:type="dxa"/>
            <w:tcBorders>
              <w:top w:val="single" w:sz="4" w:space="0" w:color="auto"/>
              <w:left w:val="single" w:sz="8" w:space="0" w:color="auto"/>
              <w:bottom w:val="single" w:sz="4" w:space="0" w:color="auto"/>
              <w:right w:val="single" w:sz="8" w:space="0" w:color="auto"/>
            </w:tcBorders>
            <w:shd w:val="clear" w:color="auto" w:fill="E5DFEC" w:themeFill="accent4" w:themeFillTint="33"/>
            <w:tcMar>
              <w:top w:w="0" w:type="dxa"/>
              <w:left w:w="108" w:type="dxa"/>
              <w:bottom w:w="0" w:type="dxa"/>
              <w:right w:w="108" w:type="dxa"/>
            </w:tcMar>
            <w:hideMark/>
          </w:tcPr>
          <w:p w:rsidR="001C6FF3" w:rsidRPr="00E54846" w:rsidRDefault="00E14136"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30</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w:t>
            </w:r>
            <w:r w:rsidR="001C6FF3" w:rsidRPr="00E54846">
              <w:rPr>
                <w:rFonts w:ascii="Corbel" w:eastAsia="Times New Roman" w:hAnsi="Corbel" w:cs="Times New Roman"/>
                <w:sz w:val="24"/>
                <w:szCs w:val="24"/>
                <w:lang w:eastAsia="en-GB"/>
              </w:rPr>
              <w:t>2010</w:t>
            </w:r>
          </w:p>
        </w:tc>
        <w:tc>
          <w:tcPr>
            <w:tcW w:w="6902" w:type="dxa"/>
            <w:tcBorders>
              <w:top w:val="single" w:sz="4" w:space="0" w:color="auto"/>
              <w:left w:val="nil"/>
              <w:bottom w:val="single" w:sz="4" w:space="0" w:color="auto"/>
              <w:right w:val="single" w:sz="8" w:space="0" w:color="auto"/>
            </w:tcBorders>
            <w:shd w:val="clear" w:color="auto" w:fill="E5DFEC" w:themeFill="accent4" w:themeFillTint="33"/>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Rules 2010.</w:t>
            </w:r>
          </w:p>
          <w:p w:rsidR="001C6FF3" w:rsidRPr="00E54846" w:rsidRDefault="001C6FF3" w:rsidP="00E14136">
            <w:pPr>
              <w:spacing w:line="240" w:lineRule="auto"/>
              <w:jc w:val="both"/>
              <w:rPr>
                <w:rFonts w:ascii="Corbel" w:hAnsi="Corbel" w:cs="Arial"/>
                <w:sz w:val="24"/>
                <w:szCs w:val="24"/>
              </w:rPr>
            </w:pPr>
            <w:r w:rsidRPr="00E54846">
              <w:rPr>
                <w:rStyle w:val="legamendingtext"/>
                <w:rFonts w:ascii="Corbel" w:hAnsi="Corbel" w:cs="Arial"/>
                <w:bCs/>
                <w:color w:val="000000"/>
                <w:sz w:val="24"/>
                <w:szCs w:val="24"/>
              </w:rPr>
              <w:t>T</w:t>
            </w:r>
            <w:r w:rsidRPr="00E54846">
              <w:rPr>
                <w:rFonts w:ascii="Corbel" w:hAnsi="Corbel"/>
                <w:sz w:val="24"/>
                <w:szCs w:val="24"/>
              </w:rPr>
              <w:t>he government introduced a system which requires solicitors to report all road traffic accident motor personal injury claims with a value between £1,000 and £10,000 via an online portal.</w:t>
            </w:r>
          </w:p>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Pre-Action protocol for low value personal injury claims in RTA was included in CPR 45 as Section VI.</w:t>
            </w:r>
            <w:r w:rsidRPr="00E54846">
              <w:rPr>
                <w:rFonts w:ascii="Corbel" w:hAnsi="Corbel" w:cs="Arial"/>
                <w:bCs/>
                <w:color w:val="000000"/>
                <w:sz w:val="24"/>
                <w:szCs w:val="24"/>
              </w:rPr>
              <w:t xml:space="preserve"> The amount of f</w:t>
            </w:r>
            <w:r w:rsidRPr="00E54846">
              <w:rPr>
                <w:rStyle w:val="legamendingtext"/>
                <w:rFonts w:ascii="Corbel" w:hAnsi="Corbel" w:cs="Arial"/>
                <w:bCs/>
                <w:color w:val="000000"/>
                <w:sz w:val="24"/>
                <w:szCs w:val="24"/>
              </w:rPr>
              <w:t xml:space="preserve">ixed costs in relation to the RTA Protocol was provided. </w:t>
            </w:r>
            <w:r w:rsidR="000A16A5" w:rsidRPr="00E54846">
              <w:rPr>
                <w:rStyle w:val="legamendingtext"/>
                <w:rFonts w:ascii="Corbel" w:hAnsi="Corbel" w:cs="Arial"/>
                <w:bCs/>
                <w:color w:val="000000"/>
                <w:sz w:val="24"/>
                <w:szCs w:val="24"/>
              </w:rPr>
              <w:t>C</w:t>
            </w:r>
            <w:r w:rsidRPr="00E54846">
              <w:rPr>
                <w:rStyle w:val="legamendingtext"/>
                <w:rFonts w:ascii="Corbel" w:hAnsi="Corbel" w:cs="Arial"/>
                <w:bCs/>
                <w:color w:val="000000"/>
                <w:sz w:val="24"/>
                <w:szCs w:val="24"/>
              </w:rPr>
              <w:t>hanges were made in the rules related to Part 36 offers</w:t>
            </w:r>
            <w:r w:rsidR="0064187D" w:rsidRPr="00E54846">
              <w:rPr>
                <w:rStyle w:val="legamendingtext"/>
                <w:rFonts w:ascii="Corbel" w:hAnsi="Corbel" w:cs="Arial"/>
                <w:bCs/>
                <w:color w:val="000000"/>
                <w:sz w:val="24"/>
                <w:szCs w:val="24"/>
              </w:rPr>
              <w:t>.</w:t>
            </w:r>
            <w:r w:rsidRPr="00E54846">
              <w:rPr>
                <w:rStyle w:val="legamendingtext"/>
                <w:rFonts w:ascii="Corbel" w:hAnsi="Corbel" w:cs="Arial"/>
                <w:bCs/>
                <w:color w:val="000000"/>
                <w:sz w:val="24"/>
                <w:szCs w:val="24"/>
              </w:rPr>
              <w:t xml:space="preserve"> </w:t>
            </w:r>
            <w:r w:rsidRPr="00E54846">
              <w:rPr>
                <w:rStyle w:val="legds2"/>
                <w:rFonts w:ascii="Corbel" w:hAnsi="Corbel" w:cs="Arial"/>
                <w:sz w:val="24"/>
                <w:szCs w:val="24"/>
              </w:rPr>
              <w:t xml:space="preserve">RTA Protocol offers to settle were introduced for the cases </w:t>
            </w:r>
            <w:r w:rsidRPr="00E54846">
              <w:rPr>
                <w:rStyle w:val="legamendingtext"/>
                <w:rFonts w:ascii="Corbel" w:hAnsi="Corbel" w:cs="Arial"/>
                <w:sz w:val="24"/>
                <w:szCs w:val="24"/>
              </w:rPr>
              <w:t>where the parties have followed the RTA Protocol and started proceedings under Part 8.</w:t>
            </w:r>
          </w:p>
        </w:tc>
      </w:tr>
      <w:tr w:rsidR="001C6FF3" w:rsidRPr="00E54846" w:rsidTr="008A7CE5">
        <w:trPr>
          <w:trHeight w:val="1278"/>
        </w:trPr>
        <w:tc>
          <w:tcPr>
            <w:tcW w:w="2340" w:type="dxa"/>
            <w:tcBorders>
              <w:top w:val="single" w:sz="4" w:space="0" w:color="auto"/>
              <w:left w:val="single" w:sz="8" w:space="0" w:color="auto"/>
              <w:bottom w:val="single" w:sz="4" w:space="0" w:color="auto"/>
              <w:right w:val="single" w:sz="8" w:space="0" w:color="auto"/>
            </w:tcBorders>
            <w:shd w:val="clear" w:color="auto" w:fill="DAEEF3" w:themeFill="accent5" w:themeFillTint="33"/>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2010</w:t>
            </w:r>
          </w:p>
        </w:tc>
        <w:tc>
          <w:tcPr>
            <w:tcW w:w="6902" w:type="dxa"/>
            <w:tcBorders>
              <w:top w:val="single" w:sz="4" w:space="0" w:color="auto"/>
              <w:left w:val="nil"/>
              <w:bottom w:val="single" w:sz="4" w:space="0" w:color="auto"/>
              <w:right w:val="single" w:sz="8" w:space="0" w:color="auto"/>
            </w:tcBorders>
            <w:shd w:val="clear" w:color="auto" w:fill="DAEEF3" w:themeFill="accent5" w:themeFillTint="33"/>
            <w:tcMar>
              <w:top w:w="0" w:type="dxa"/>
              <w:left w:w="108" w:type="dxa"/>
              <w:bottom w:w="0" w:type="dxa"/>
              <w:right w:w="108" w:type="dxa"/>
            </w:tcMar>
            <w:hideMark/>
          </w:tcPr>
          <w:p w:rsidR="001C6FF3" w:rsidRPr="00E54846" w:rsidRDefault="001C6FF3" w:rsidP="00E14136">
            <w:pPr>
              <w:spacing w:line="240" w:lineRule="auto"/>
              <w:jc w:val="both"/>
              <w:rPr>
                <w:rStyle w:val="legds2"/>
                <w:rFonts w:ascii="Corbel" w:hAnsi="Corbel" w:cs="Arial"/>
                <w:sz w:val="24"/>
                <w:szCs w:val="24"/>
              </w:rPr>
            </w:pPr>
            <w:r w:rsidRPr="00E54846">
              <w:rPr>
                <w:rFonts w:ascii="Corbel" w:hAnsi="Corbel" w:cs="Arial"/>
                <w:sz w:val="24"/>
                <w:szCs w:val="24"/>
              </w:rPr>
              <w:t>The Civil Procedure (Amendment No.2) Rules 2010.</w:t>
            </w:r>
          </w:p>
          <w:p w:rsidR="001C6FF3" w:rsidRPr="00E54846" w:rsidRDefault="001C6FF3" w:rsidP="00E14136">
            <w:pPr>
              <w:spacing w:line="240" w:lineRule="auto"/>
              <w:jc w:val="both"/>
              <w:rPr>
                <w:rFonts w:ascii="Corbel" w:hAnsi="Corbel" w:cs="Arial"/>
                <w:sz w:val="24"/>
                <w:szCs w:val="24"/>
              </w:rPr>
            </w:pPr>
            <w:r w:rsidRPr="00E54846">
              <w:rPr>
                <w:rStyle w:val="legds2"/>
                <w:rFonts w:ascii="Corbel" w:hAnsi="Corbel" w:cs="Arial"/>
                <w:sz w:val="24"/>
                <w:szCs w:val="24"/>
              </w:rPr>
              <w:t xml:space="preserve">Scale costs for claims in a patents county court were introduced and additions were made to Section 45 V regarding fixed recoverable </w:t>
            </w:r>
            <w:r w:rsidRPr="00E54846">
              <w:rPr>
                <w:rStyle w:val="legds2"/>
                <w:rFonts w:ascii="Corbel" w:hAnsi="Corbel" w:cs="Arial"/>
                <w:sz w:val="24"/>
                <w:szCs w:val="24"/>
              </w:rPr>
              <w:lastRenderedPageBreak/>
              <w:t>success fees in Employer’s Liability Disease claims.</w:t>
            </w:r>
          </w:p>
        </w:tc>
      </w:tr>
      <w:tr w:rsidR="001C6FF3" w:rsidRPr="00E54846" w:rsidTr="008A7CE5">
        <w:trPr>
          <w:trHeight w:val="653"/>
        </w:trPr>
        <w:tc>
          <w:tcPr>
            <w:tcW w:w="2340" w:type="dxa"/>
            <w:tcBorders>
              <w:top w:val="single" w:sz="4" w:space="0" w:color="auto"/>
              <w:left w:val="single" w:sz="8" w:space="0" w:color="auto"/>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lastRenderedPageBreak/>
              <w:t>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2011</w:t>
            </w:r>
          </w:p>
        </w:tc>
        <w:tc>
          <w:tcPr>
            <w:tcW w:w="6902" w:type="dxa"/>
            <w:tcBorders>
              <w:top w:val="single" w:sz="4" w:space="0" w:color="auto"/>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Rules 2011.</w:t>
            </w:r>
          </w:p>
          <w:p w:rsidR="001C6FF3" w:rsidRPr="00E54846" w:rsidRDefault="001C6FF3" w:rsidP="00E54846">
            <w:pPr>
              <w:spacing w:line="240" w:lineRule="auto"/>
              <w:jc w:val="both"/>
              <w:rPr>
                <w:rFonts w:ascii="Corbel" w:hAnsi="Corbel" w:cs="Arial"/>
                <w:sz w:val="24"/>
                <w:szCs w:val="24"/>
              </w:rPr>
            </w:pPr>
            <w:r w:rsidRPr="00E54846">
              <w:rPr>
                <w:rStyle w:val="legds2"/>
                <w:rFonts w:ascii="Corbel" w:hAnsi="Corbel" w:cs="Arial"/>
                <w:sz w:val="24"/>
                <w:szCs w:val="24"/>
              </w:rPr>
              <w:t>Fixed Costs in relation to HM Revenue and Customs introduced.</w:t>
            </w:r>
          </w:p>
        </w:tc>
      </w:tr>
      <w:tr w:rsidR="001C6FF3" w:rsidRPr="00E54846" w:rsidTr="008A7CE5">
        <w:tc>
          <w:tcPr>
            <w:tcW w:w="2340" w:type="dxa"/>
            <w:tcBorders>
              <w:top w:val="nil"/>
              <w:left w:val="single" w:sz="8" w:space="0" w:color="auto"/>
              <w:bottom w:val="single" w:sz="8" w:space="0" w:color="auto"/>
              <w:right w:val="single" w:sz="8" w:space="0" w:color="auto"/>
            </w:tcBorders>
            <w:shd w:val="clear" w:color="auto" w:fill="E5B8B7" w:themeFill="accent2" w:themeFillTint="6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APRIL 2013 </w:t>
            </w:r>
          </w:p>
        </w:tc>
        <w:tc>
          <w:tcPr>
            <w:tcW w:w="6902"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hideMark/>
          </w:tcPr>
          <w:p w:rsidR="001C6FF3" w:rsidRPr="00E54846" w:rsidRDefault="001C6FF3" w:rsidP="00E14136">
            <w:pPr>
              <w:pStyle w:val="Title"/>
              <w:spacing w:after="0"/>
              <w:jc w:val="both"/>
              <w:rPr>
                <w:rFonts w:ascii="Corbel" w:hAnsi="Corbel"/>
                <w:sz w:val="24"/>
                <w:szCs w:val="24"/>
              </w:rPr>
            </w:pPr>
            <w:r w:rsidRPr="00E54846">
              <w:rPr>
                <w:rFonts w:ascii="Corbel" w:hAnsi="Corbel"/>
                <w:sz w:val="24"/>
                <w:szCs w:val="24"/>
              </w:rPr>
              <w:t>The Civil Procedure (Amendment) Rules 2013 and the CPR Direction Update to the Civil Procedure (Amendment) Rules 2013 came into force.</w:t>
            </w:r>
          </w:p>
          <w:p w:rsidR="001C6FF3" w:rsidRPr="00E54846" w:rsidRDefault="001C6FF3" w:rsidP="00E14136">
            <w:pPr>
              <w:pStyle w:val="Title"/>
              <w:spacing w:after="0"/>
              <w:jc w:val="both"/>
              <w:rPr>
                <w:rFonts w:ascii="Corbel" w:hAnsi="Corbel" w:cs="Arial"/>
                <w:bCs/>
                <w:sz w:val="24"/>
                <w:szCs w:val="24"/>
              </w:rPr>
            </w:pPr>
          </w:p>
          <w:p w:rsidR="001C6FF3" w:rsidRPr="00E54846" w:rsidRDefault="001C6FF3" w:rsidP="00E14136">
            <w:pPr>
              <w:spacing w:after="0" w:line="240" w:lineRule="auto"/>
              <w:jc w:val="both"/>
              <w:rPr>
                <w:rFonts w:ascii="Corbel" w:eastAsia="Times New Roman" w:hAnsi="Corbel" w:cs="Arial"/>
                <w:color w:val="000000"/>
                <w:kern w:val="36"/>
                <w:sz w:val="24"/>
                <w:szCs w:val="24"/>
                <w:lang w:eastAsia="en-GB"/>
              </w:rPr>
            </w:pPr>
            <w:r w:rsidRPr="00E54846">
              <w:rPr>
                <w:rFonts w:ascii="Corbel" w:hAnsi="Corbel" w:cs="Arial"/>
                <w:bCs/>
                <w:sz w:val="24"/>
                <w:szCs w:val="24"/>
              </w:rPr>
              <w:t xml:space="preserve">Also Part 2 of Legal Aid, Sentencing and Punishment of Offenders Act 2012 and </w:t>
            </w:r>
            <w:r w:rsidRPr="00E54846">
              <w:rPr>
                <w:rFonts w:ascii="Corbel" w:eastAsia="Times New Roman" w:hAnsi="Corbel" w:cs="Arial"/>
                <w:color w:val="000000"/>
                <w:kern w:val="36"/>
                <w:sz w:val="24"/>
                <w:szCs w:val="24"/>
                <w:lang w:eastAsia="en-GB"/>
              </w:rPr>
              <w:t>The Conditional Fee Agreements Order 2013 came into force.</w:t>
            </w:r>
          </w:p>
          <w:p w:rsidR="001C6FF3" w:rsidRPr="00E54846" w:rsidRDefault="001C6FF3" w:rsidP="00E14136">
            <w:pPr>
              <w:spacing w:after="0" w:line="240" w:lineRule="auto"/>
              <w:jc w:val="both"/>
              <w:rPr>
                <w:rFonts w:ascii="Corbel" w:eastAsia="Times New Roman" w:hAnsi="Corbel" w:cs="Arial"/>
                <w:color w:val="000000"/>
                <w:kern w:val="36"/>
                <w:sz w:val="24"/>
                <w:szCs w:val="24"/>
                <w:lang w:eastAsia="en-GB"/>
              </w:rPr>
            </w:pPr>
          </w:p>
          <w:p w:rsidR="001C6FF3" w:rsidRDefault="001C6FF3" w:rsidP="00E14136">
            <w:pPr>
              <w:spacing w:after="0" w:line="240" w:lineRule="auto"/>
              <w:jc w:val="both"/>
              <w:outlineLvl w:val="2"/>
              <w:rPr>
                <w:rFonts w:ascii="Corbel" w:eastAsia="Times New Roman" w:hAnsi="Corbel" w:cs="Arial"/>
                <w:color w:val="202020"/>
                <w:sz w:val="24"/>
                <w:szCs w:val="24"/>
                <w:lang w:eastAsia="en-GB"/>
              </w:rPr>
            </w:pPr>
            <w:r w:rsidRPr="00E54846">
              <w:rPr>
                <w:rFonts w:ascii="Corbel" w:eastAsia="Times New Roman" w:hAnsi="Corbel" w:cs="Arial"/>
                <w:color w:val="202020"/>
                <w:sz w:val="24"/>
                <w:szCs w:val="24"/>
                <w:lang w:eastAsia="en-GB"/>
              </w:rPr>
              <w:t xml:space="preserve">Key changes related to costs: </w:t>
            </w:r>
          </w:p>
          <w:p w:rsidR="00920B8D" w:rsidRPr="00E54846" w:rsidRDefault="00920B8D" w:rsidP="00E14136">
            <w:pPr>
              <w:spacing w:after="0" w:line="240" w:lineRule="auto"/>
              <w:jc w:val="both"/>
              <w:outlineLvl w:val="2"/>
              <w:rPr>
                <w:rFonts w:ascii="Corbel" w:eastAsia="Times New Roman" w:hAnsi="Corbel" w:cs="Arial"/>
                <w:color w:val="000000"/>
                <w:kern w:val="36"/>
                <w:sz w:val="24"/>
                <w:szCs w:val="24"/>
                <w:lang w:eastAsia="en-GB"/>
              </w:rPr>
            </w:pPr>
          </w:p>
          <w:p w:rsidR="001C6FF3" w:rsidRPr="00E54846" w:rsidRDefault="001C6FF3" w:rsidP="00E14136">
            <w:pPr>
              <w:numPr>
                <w:ilvl w:val="0"/>
                <w:numId w:val="1"/>
              </w:numPr>
              <w:spacing w:after="0" w:line="240" w:lineRule="auto"/>
              <w:jc w:val="both"/>
              <w:rPr>
                <w:rFonts w:ascii="Corbel" w:eastAsia="Times New Roman" w:hAnsi="Corbel" w:cs="Arial"/>
                <w:sz w:val="24"/>
                <w:szCs w:val="24"/>
                <w:lang w:eastAsia="en-GB"/>
              </w:rPr>
            </w:pPr>
            <w:r w:rsidRPr="00E54846">
              <w:rPr>
                <w:rFonts w:ascii="Corbel" w:eastAsia="Times New Roman" w:hAnsi="Corbel" w:cs="Arial"/>
                <w:sz w:val="24"/>
                <w:szCs w:val="24"/>
                <w:lang w:eastAsia="en-GB"/>
              </w:rPr>
              <w:t>No win no fee CFAs remain available in civil cases, but the additional costs involved (success fee and insurance premiums) are no longer payable by the losing side (apart from a few exceptions).</w:t>
            </w:r>
          </w:p>
          <w:p w:rsidR="001C6FF3" w:rsidRPr="00E54846" w:rsidRDefault="001C6FF3" w:rsidP="00E14136">
            <w:pPr>
              <w:numPr>
                <w:ilvl w:val="0"/>
                <w:numId w:val="1"/>
              </w:numPr>
              <w:spacing w:before="100" w:beforeAutospacing="1" w:after="100" w:afterAutospacing="1" w:line="240" w:lineRule="auto"/>
              <w:jc w:val="both"/>
              <w:rPr>
                <w:rFonts w:ascii="Corbel" w:eastAsia="Times New Roman" w:hAnsi="Corbel" w:cs="Arial"/>
                <w:sz w:val="24"/>
                <w:szCs w:val="24"/>
                <w:lang w:eastAsia="en-GB"/>
              </w:rPr>
            </w:pPr>
            <w:r w:rsidRPr="00E54846">
              <w:rPr>
                <w:rFonts w:ascii="Corbel" w:eastAsia="Times New Roman" w:hAnsi="Corbel" w:cs="Arial"/>
                <w:sz w:val="24"/>
                <w:szCs w:val="24"/>
                <w:lang w:eastAsia="en-GB"/>
              </w:rPr>
              <w:t>No win no fee DBAs are available in civil litigation for the first time.</w:t>
            </w:r>
          </w:p>
          <w:p w:rsidR="001C6FF3" w:rsidRPr="00E54846" w:rsidRDefault="001C6FF3" w:rsidP="00E14136">
            <w:pPr>
              <w:numPr>
                <w:ilvl w:val="0"/>
                <w:numId w:val="1"/>
              </w:numPr>
              <w:spacing w:before="100" w:beforeAutospacing="1" w:after="100" w:afterAutospacing="1" w:line="240" w:lineRule="auto"/>
              <w:jc w:val="both"/>
              <w:rPr>
                <w:rFonts w:ascii="Corbel" w:eastAsia="Times New Roman" w:hAnsi="Corbel" w:cs="Arial"/>
                <w:sz w:val="24"/>
                <w:szCs w:val="24"/>
                <w:lang w:eastAsia="en-GB"/>
              </w:rPr>
            </w:pPr>
            <w:r w:rsidRPr="00E54846">
              <w:rPr>
                <w:rFonts w:ascii="Corbel" w:eastAsia="Times New Roman" w:hAnsi="Corbel" w:cs="Arial"/>
                <w:sz w:val="24"/>
                <w:szCs w:val="24"/>
                <w:lang w:eastAsia="en-GB"/>
              </w:rPr>
              <w:t>Referral fees are banned in personal injury cases.</w:t>
            </w:r>
          </w:p>
          <w:p w:rsidR="001C6FF3" w:rsidRPr="00E54846" w:rsidRDefault="001C6FF3" w:rsidP="00E14136">
            <w:pPr>
              <w:pStyle w:val="ListParagraph"/>
              <w:numPr>
                <w:ilvl w:val="0"/>
                <w:numId w:val="1"/>
              </w:numPr>
              <w:spacing w:before="100" w:beforeAutospacing="1" w:after="100" w:afterAutospacing="1" w:line="240" w:lineRule="auto"/>
              <w:jc w:val="both"/>
              <w:rPr>
                <w:rFonts w:ascii="Corbel" w:eastAsia="Times New Roman" w:hAnsi="Corbel" w:cs="Arial"/>
                <w:sz w:val="24"/>
                <w:szCs w:val="24"/>
                <w:lang w:eastAsia="en-GB"/>
              </w:rPr>
            </w:pPr>
            <w:r w:rsidRPr="00E54846">
              <w:rPr>
                <w:rFonts w:ascii="Corbel" w:hAnsi="Corbel"/>
                <w:sz w:val="24"/>
                <w:szCs w:val="24"/>
              </w:rPr>
              <w:t>There is no requirement anymore to notify the Court and other parties about the funding arrangements if the arrangement was entered into on or after 1 April 2013 (apart from a few exceptions: claims related to insolvency-related proceedings until April 2016, publication or privacy proceedings and mesothelioma claims).</w:t>
            </w:r>
          </w:p>
          <w:p w:rsidR="001C6FF3" w:rsidRPr="00E54846" w:rsidRDefault="001C6FF3" w:rsidP="00E14136">
            <w:pPr>
              <w:numPr>
                <w:ilvl w:val="0"/>
                <w:numId w:val="1"/>
              </w:numPr>
              <w:spacing w:before="100" w:beforeAutospacing="1" w:after="100" w:afterAutospacing="1" w:line="240" w:lineRule="auto"/>
              <w:jc w:val="both"/>
              <w:rPr>
                <w:rFonts w:ascii="Corbel" w:eastAsia="Times New Roman" w:hAnsi="Corbel" w:cs="Arial"/>
                <w:sz w:val="24"/>
                <w:szCs w:val="24"/>
                <w:lang w:eastAsia="en-GB"/>
              </w:rPr>
            </w:pPr>
            <w:r w:rsidRPr="00E54846">
              <w:rPr>
                <w:rFonts w:ascii="Corbel" w:eastAsia="Times New Roman" w:hAnsi="Corbel" w:cs="Arial"/>
                <w:sz w:val="24"/>
                <w:szCs w:val="24"/>
                <w:lang w:eastAsia="en-GB"/>
              </w:rPr>
              <w:t>Claimants' damages are protected: the fee that a successful claimant has to pay the lawyer - the lawyer's 'success fee' in CFAs, or “payment” in DBAs - is capped at 25% of the damages recovered, excluding damages for future care and loss.</w:t>
            </w:r>
          </w:p>
          <w:p w:rsidR="001C6FF3" w:rsidRPr="00E54846" w:rsidRDefault="001C6FF3" w:rsidP="00E14136">
            <w:pPr>
              <w:numPr>
                <w:ilvl w:val="0"/>
                <w:numId w:val="1"/>
              </w:numPr>
              <w:spacing w:before="100" w:beforeAutospacing="1" w:after="100" w:afterAutospacing="1" w:line="240" w:lineRule="auto"/>
              <w:jc w:val="both"/>
              <w:rPr>
                <w:rFonts w:ascii="Corbel" w:eastAsia="Times New Roman" w:hAnsi="Corbel" w:cs="Arial"/>
                <w:sz w:val="24"/>
                <w:szCs w:val="24"/>
                <w:lang w:eastAsia="en-GB"/>
              </w:rPr>
            </w:pPr>
            <w:r w:rsidRPr="00E54846">
              <w:rPr>
                <w:rFonts w:ascii="Corbel" w:eastAsia="Times New Roman" w:hAnsi="Corbel" w:cs="Arial"/>
                <w:sz w:val="24"/>
                <w:szCs w:val="24"/>
                <w:lang w:eastAsia="en-GB"/>
              </w:rPr>
              <w:t>General damages for non-pecuniary loss such as pain, suffering and loss of amenity are increased by 10%.</w:t>
            </w:r>
          </w:p>
          <w:p w:rsidR="001C6FF3" w:rsidRPr="00E54846" w:rsidRDefault="001C6FF3" w:rsidP="00E14136">
            <w:pPr>
              <w:numPr>
                <w:ilvl w:val="0"/>
                <w:numId w:val="1"/>
              </w:numPr>
              <w:spacing w:before="100" w:beforeAutospacing="1" w:after="100" w:afterAutospacing="1" w:line="240" w:lineRule="auto"/>
              <w:jc w:val="both"/>
              <w:rPr>
                <w:rFonts w:ascii="Corbel" w:eastAsia="Times New Roman" w:hAnsi="Corbel" w:cs="Arial"/>
                <w:sz w:val="24"/>
                <w:szCs w:val="24"/>
                <w:lang w:eastAsia="en-GB"/>
              </w:rPr>
            </w:pPr>
            <w:r w:rsidRPr="00E54846">
              <w:rPr>
                <w:rFonts w:ascii="Corbel" w:eastAsia="Times New Roman" w:hAnsi="Corbel" w:cs="Arial"/>
                <w:sz w:val="24"/>
                <w:szCs w:val="24"/>
                <w:lang w:eastAsia="en-GB"/>
              </w:rPr>
              <w:t>A new regime of “qualified one way costs shifting” (QOCS) is introduced in personal injury cases which caps the amount that claimants may have to pay to defendants. Claimants who lose, but whose claims are conducted in accordance with the rules, are protected from having to pay the defendants costs.</w:t>
            </w:r>
          </w:p>
          <w:p w:rsidR="001C6FF3" w:rsidRPr="00E54846" w:rsidRDefault="001C6FF3" w:rsidP="00E14136">
            <w:pPr>
              <w:numPr>
                <w:ilvl w:val="0"/>
                <w:numId w:val="1"/>
              </w:numPr>
              <w:spacing w:before="100" w:beforeAutospacing="1" w:after="100" w:afterAutospacing="1" w:line="240" w:lineRule="auto"/>
              <w:jc w:val="both"/>
              <w:rPr>
                <w:rFonts w:ascii="Corbel" w:eastAsia="Times New Roman" w:hAnsi="Corbel" w:cs="Times New Roman"/>
                <w:sz w:val="24"/>
                <w:szCs w:val="24"/>
                <w:lang w:eastAsia="en-GB"/>
              </w:rPr>
            </w:pPr>
            <w:r w:rsidRPr="00E54846">
              <w:rPr>
                <w:rFonts w:ascii="Corbel" w:eastAsia="Times New Roman" w:hAnsi="Corbel" w:cs="Arial"/>
                <w:sz w:val="24"/>
                <w:szCs w:val="24"/>
                <w:lang w:eastAsia="en-GB"/>
              </w:rPr>
              <w:t xml:space="preserve">A new sanction on defendants to encourage earlier </w:t>
            </w:r>
            <w:r w:rsidRPr="00E54846">
              <w:rPr>
                <w:rFonts w:ascii="Corbel" w:eastAsia="Times New Roman" w:hAnsi="Corbel" w:cs="Arial"/>
                <w:sz w:val="24"/>
                <w:szCs w:val="24"/>
                <w:lang w:eastAsia="en-GB"/>
              </w:rPr>
              <w:lastRenderedPageBreak/>
              <w:t>settlement of claims.</w:t>
            </w:r>
          </w:p>
          <w:p w:rsidR="001C6FF3" w:rsidRPr="00E54846" w:rsidRDefault="001C6FF3" w:rsidP="00E14136">
            <w:pPr>
              <w:numPr>
                <w:ilvl w:val="0"/>
                <w:numId w:val="1"/>
              </w:numPr>
              <w:spacing w:before="100" w:beforeAutospacing="1" w:after="100" w:afterAutospacing="1" w:line="240" w:lineRule="auto"/>
              <w:jc w:val="both"/>
              <w:rPr>
                <w:rFonts w:ascii="Corbel" w:eastAsia="Times New Roman" w:hAnsi="Corbel" w:cs="Times New Roman"/>
                <w:sz w:val="24"/>
                <w:szCs w:val="24"/>
                <w:lang w:eastAsia="en-GB"/>
              </w:rPr>
            </w:pPr>
            <w:r w:rsidRPr="00E54846">
              <w:rPr>
                <w:rFonts w:ascii="Corbel" w:hAnsi="Corbel"/>
                <w:sz w:val="24"/>
                <w:szCs w:val="24"/>
              </w:rPr>
              <w:t>A new proportionality test.</w:t>
            </w:r>
          </w:p>
          <w:p w:rsidR="001C6FF3" w:rsidRPr="00E54846" w:rsidRDefault="001C6FF3" w:rsidP="00E14136">
            <w:pPr>
              <w:numPr>
                <w:ilvl w:val="0"/>
                <w:numId w:val="1"/>
              </w:numPr>
              <w:spacing w:before="100" w:beforeAutospacing="1" w:after="100" w:afterAutospacing="1" w:line="240" w:lineRule="auto"/>
              <w:jc w:val="both"/>
              <w:rPr>
                <w:rFonts w:ascii="Corbel" w:eastAsia="Times New Roman" w:hAnsi="Corbel" w:cs="Times New Roman"/>
                <w:sz w:val="24"/>
                <w:szCs w:val="24"/>
                <w:lang w:eastAsia="en-GB"/>
              </w:rPr>
            </w:pPr>
            <w:r w:rsidRPr="00E54846">
              <w:rPr>
                <w:rFonts w:ascii="Corbel" w:hAnsi="Corbel"/>
                <w:sz w:val="24"/>
                <w:szCs w:val="24"/>
              </w:rPr>
              <w:t>In Multi Track cases commenced on or after 01/04/2013 parties must file and exchange budgets.</w:t>
            </w:r>
          </w:p>
          <w:p w:rsidR="001C6FF3" w:rsidRPr="00E54846" w:rsidRDefault="001C6FF3" w:rsidP="00E14136">
            <w:pPr>
              <w:numPr>
                <w:ilvl w:val="0"/>
                <w:numId w:val="1"/>
              </w:numPr>
              <w:spacing w:before="100" w:beforeAutospacing="1" w:after="100" w:afterAutospacing="1" w:line="240" w:lineRule="auto"/>
              <w:jc w:val="both"/>
              <w:rPr>
                <w:rFonts w:ascii="Corbel" w:hAnsi="Corbel"/>
                <w:sz w:val="24"/>
                <w:szCs w:val="24"/>
              </w:rPr>
            </w:pPr>
            <w:r w:rsidRPr="00E54846">
              <w:rPr>
                <w:rFonts w:ascii="Corbel" w:hAnsi="Corbel"/>
                <w:sz w:val="24"/>
                <w:szCs w:val="24"/>
              </w:rPr>
              <w:t>Procedure for costs-only applications after a claim is started under Part 8.</w:t>
            </w:r>
          </w:p>
          <w:p w:rsidR="001C6FF3" w:rsidRPr="00E54846" w:rsidRDefault="001C6FF3" w:rsidP="00E14136">
            <w:pPr>
              <w:numPr>
                <w:ilvl w:val="0"/>
                <w:numId w:val="1"/>
              </w:numPr>
              <w:spacing w:before="100" w:beforeAutospacing="1" w:after="100" w:afterAutospacing="1" w:line="240" w:lineRule="auto"/>
              <w:jc w:val="both"/>
              <w:rPr>
                <w:rFonts w:ascii="Corbel" w:hAnsi="Corbel"/>
                <w:sz w:val="24"/>
                <w:szCs w:val="24"/>
              </w:rPr>
            </w:pPr>
            <w:r w:rsidRPr="00E54846">
              <w:rPr>
                <w:rFonts w:ascii="Corbel" w:hAnsi="Corbel"/>
                <w:sz w:val="24"/>
                <w:szCs w:val="24"/>
              </w:rPr>
              <w:t>The allocation directions in CPR 26 replace the previous “Allocation Questionnaire”.</w:t>
            </w:r>
          </w:p>
          <w:p w:rsidR="001C6FF3" w:rsidRPr="00E54846" w:rsidRDefault="001C6FF3" w:rsidP="00E14136">
            <w:pPr>
              <w:numPr>
                <w:ilvl w:val="0"/>
                <w:numId w:val="1"/>
              </w:numPr>
              <w:spacing w:before="100" w:beforeAutospacing="1" w:after="100" w:afterAutospacing="1" w:line="240" w:lineRule="auto"/>
              <w:jc w:val="both"/>
              <w:rPr>
                <w:rFonts w:ascii="Corbel" w:hAnsi="Corbel"/>
                <w:sz w:val="24"/>
                <w:szCs w:val="24"/>
              </w:rPr>
            </w:pPr>
            <w:r w:rsidRPr="00E54846">
              <w:rPr>
                <w:rFonts w:ascii="Corbel" w:hAnsi="Corbel"/>
                <w:sz w:val="24"/>
                <w:szCs w:val="24"/>
              </w:rPr>
              <w:t>The provisional assessment procedure extended to apply to claims for costs up to £75,000.</w:t>
            </w:r>
          </w:p>
          <w:p w:rsidR="001C6FF3" w:rsidRPr="00E54846" w:rsidRDefault="001C6FF3" w:rsidP="00E14136">
            <w:pPr>
              <w:numPr>
                <w:ilvl w:val="0"/>
                <w:numId w:val="1"/>
              </w:numPr>
              <w:spacing w:before="100" w:beforeAutospacing="1" w:after="100" w:afterAutospacing="1" w:line="240" w:lineRule="auto"/>
              <w:jc w:val="both"/>
              <w:rPr>
                <w:rFonts w:ascii="Corbel" w:hAnsi="Corbel"/>
                <w:sz w:val="24"/>
                <w:szCs w:val="24"/>
              </w:rPr>
            </w:pPr>
            <w:r w:rsidRPr="00E54846">
              <w:rPr>
                <w:rFonts w:ascii="Corbel" w:hAnsi="Corbel"/>
                <w:sz w:val="24"/>
                <w:szCs w:val="24"/>
              </w:rPr>
              <w:t>A new format for Points of Dispute and Points of Reply is introduced.</w:t>
            </w:r>
          </w:p>
          <w:p w:rsidR="001C6FF3" w:rsidRPr="00E54846" w:rsidRDefault="001C6FF3" w:rsidP="00E14136">
            <w:pPr>
              <w:pStyle w:val="ListParagraph"/>
              <w:numPr>
                <w:ilvl w:val="0"/>
                <w:numId w:val="1"/>
              </w:numPr>
              <w:autoSpaceDE w:val="0"/>
              <w:autoSpaceDN w:val="0"/>
              <w:adjustRightInd w:val="0"/>
              <w:spacing w:before="100" w:beforeAutospacing="1" w:after="100" w:afterAutospacing="1" w:line="240" w:lineRule="auto"/>
              <w:jc w:val="both"/>
              <w:rPr>
                <w:rFonts w:ascii="Corbel" w:hAnsi="Corbel"/>
                <w:sz w:val="24"/>
                <w:szCs w:val="24"/>
              </w:rPr>
            </w:pPr>
            <w:r w:rsidRPr="00E54846">
              <w:rPr>
                <w:rFonts w:ascii="Corbel" w:hAnsi="Corbel" w:cs="Cambria"/>
                <w:sz w:val="24"/>
                <w:szCs w:val="24"/>
              </w:rPr>
              <w:t>The paying party must make a</w:t>
            </w:r>
            <w:r w:rsidR="00BB5F64" w:rsidRPr="00E54846">
              <w:rPr>
                <w:rFonts w:ascii="Corbel" w:hAnsi="Corbel" w:cs="Cambria"/>
                <w:sz w:val="24"/>
                <w:szCs w:val="24"/>
              </w:rPr>
              <w:t>n</w:t>
            </w:r>
            <w:r w:rsidRPr="00E54846">
              <w:rPr>
                <w:rFonts w:ascii="Corbel" w:hAnsi="Corbel" w:cs="Cambria"/>
                <w:sz w:val="24"/>
                <w:szCs w:val="24"/>
              </w:rPr>
              <w:t xml:space="preserve"> open offer when serving their </w:t>
            </w:r>
            <w:r w:rsidR="008435AC" w:rsidRPr="00E54846">
              <w:rPr>
                <w:rFonts w:ascii="Corbel" w:hAnsi="Corbel" w:cs="Cambria"/>
                <w:sz w:val="24"/>
                <w:szCs w:val="24"/>
              </w:rPr>
              <w:t>P</w:t>
            </w:r>
            <w:r w:rsidRPr="00E54846">
              <w:rPr>
                <w:rFonts w:ascii="Corbel" w:hAnsi="Corbel" w:cs="Cambria"/>
                <w:sz w:val="24"/>
                <w:szCs w:val="24"/>
              </w:rPr>
              <w:t xml:space="preserve">oints of </w:t>
            </w:r>
            <w:r w:rsidR="008435AC" w:rsidRPr="00E54846">
              <w:rPr>
                <w:rFonts w:ascii="Corbel" w:hAnsi="Corbel" w:cs="Cambria"/>
                <w:sz w:val="24"/>
                <w:szCs w:val="24"/>
              </w:rPr>
              <w:t>D</w:t>
            </w:r>
            <w:r w:rsidRPr="00E54846">
              <w:rPr>
                <w:rFonts w:ascii="Corbel" w:hAnsi="Corbel" w:cs="Cambria"/>
                <w:sz w:val="24"/>
                <w:szCs w:val="24"/>
              </w:rPr>
              <w:t>ispute.</w:t>
            </w:r>
          </w:p>
          <w:p w:rsidR="001C6FF3" w:rsidRPr="00E54846" w:rsidRDefault="001C6FF3" w:rsidP="00E54846">
            <w:pPr>
              <w:numPr>
                <w:ilvl w:val="0"/>
                <w:numId w:val="1"/>
              </w:numPr>
              <w:spacing w:before="100" w:beforeAutospacing="1" w:after="100" w:afterAutospacing="1" w:line="240" w:lineRule="auto"/>
              <w:jc w:val="both"/>
              <w:rPr>
                <w:rFonts w:ascii="Corbel" w:eastAsia="Times New Roman" w:hAnsi="Corbel" w:cs="Times New Roman"/>
                <w:sz w:val="24"/>
                <w:szCs w:val="24"/>
                <w:lang w:eastAsia="en-GB"/>
              </w:rPr>
            </w:pPr>
            <w:r w:rsidRPr="00E54846">
              <w:rPr>
                <w:rFonts w:ascii="Corbel" w:hAnsi="Corbel"/>
                <w:sz w:val="24"/>
                <w:szCs w:val="24"/>
              </w:rPr>
              <w:t xml:space="preserve">It is no longer possible to make a Part 47.19 offer. However, Part 36 offer to settle in detailed assessment proceedings </w:t>
            </w:r>
            <w:r w:rsidR="00E54846" w:rsidRPr="00E54846">
              <w:rPr>
                <w:rFonts w:ascii="Corbel" w:hAnsi="Corbel"/>
                <w:sz w:val="24"/>
                <w:szCs w:val="24"/>
              </w:rPr>
              <w:t xml:space="preserve">is </w:t>
            </w:r>
            <w:r w:rsidRPr="00E54846">
              <w:rPr>
                <w:rFonts w:ascii="Corbel" w:hAnsi="Corbel"/>
                <w:sz w:val="24"/>
                <w:szCs w:val="24"/>
              </w:rPr>
              <w:t>introduced.</w:t>
            </w:r>
          </w:p>
        </w:tc>
      </w:tr>
      <w:tr w:rsidR="001C6FF3" w:rsidRPr="00E54846" w:rsidTr="008A7CE5">
        <w:trPr>
          <w:trHeight w:val="876"/>
        </w:trPr>
        <w:tc>
          <w:tcPr>
            <w:tcW w:w="2340" w:type="dxa"/>
            <w:tcBorders>
              <w:top w:val="nil"/>
              <w:left w:val="single" w:sz="8" w:space="0" w:color="auto"/>
              <w:bottom w:val="single" w:sz="4" w:space="0" w:color="auto"/>
              <w:right w:val="single" w:sz="8" w:space="0" w:color="auto"/>
            </w:tcBorders>
            <w:shd w:val="clear" w:color="auto" w:fill="FFC000"/>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lastRenderedPageBreak/>
              <w:t>30</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2013 </w:t>
            </w:r>
          </w:p>
        </w:tc>
        <w:tc>
          <w:tcPr>
            <w:tcW w:w="6902" w:type="dxa"/>
            <w:tcBorders>
              <w:top w:val="nil"/>
              <w:left w:val="nil"/>
              <w:bottom w:val="single" w:sz="4" w:space="0" w:color="auto"/>
              <w:right w:val="single" w:sz="8" w:space="0" w:color="auto"/>
            </w:tcBorders>
            <w:shd w:val="clear" w:color="auto" w:fill="FFC000"/>
            <w:tcMar>
              <w:top w:w="0" w:type="dxa"/>
              <w:left w:w="108" w:type="dxa"/>
              <w:bottom w:w="0" w:type="dxa"/>
              <w:right w:w="108" w:type="dxa"/>
            </w:tcMar>
            <w:hideMark/>
          </w:tcPr>
          <w:p w:rsidR="001C6FF3" w:rsidRPr="00E54846" w:rsidRDefault="001C6FF3" w:rsidP="00E14136">
            <w:pPr>
              <w:pStyle w:val="Title"/>
              <w:spacing w:after="0"/>
              <w:jc w:val="both"/>
              <w:rPr>
                <w:rFonts w:ascii="Corbel" w:hAnsi="Corbel" w:cs="Arial"/>
                <w:sz w:val="24"/>
                <w:szCs w:val="24"/>
              </w:rPr>
            </w:pPr>
            <w:r w:rsidRPr="00E54846">
              <w:rPr>
                <w:rFonts w:ascii="Corbel" w:hAnsi="Corbel" w:cs="Arial"/>
                <w:sz w:val="24"/>
                <w:szCs w:val="24"/>
              </w:rPr>
              <w:t>The Civil Procedure (Amendment No.3) Rules 2013.</w:t>
            </w:r>
          </w:p>
          <w:p w:rsidR="001C6FF3" w:rsidRPr="00E54846" w:rsidRDefault="001C6FF3" w:rsidP="00E14136">
            <w:pPr>
              <w:pStyle w:val="Title"/>
              <w:spacing w:after="0"/>
              <w:jc w:val="both"/>
              <w:rPr>
                <w:rFonts w:ascii="Corbel" w:hAnsi="Corbel" w:cs="Arial"/>
                <w:sz w:val="24"/>
                <w:szCs w:val="24"/>
              </w:rPr>
            </w:pPr>
            <w:r w:rsidRPr="00E54846">
              <w:rPr>
                <w:rFonts w:ascii="Corbel" w:hAnsi="Corbel" w:cs="Arial"/>
                <w:sz w:val="24"/>
                <w:szCs w:val="24"/>
              </w:rPr>
              <w:t xml:space="preserve"> </w:t>
            </w:r>
          </w:p>
          <w:p w:rsidR="001C6FF3" w:rsidRPr="00E54846" w:rsidRDefault="001C6FF3" w:rsidP="00E14136">
            <w:pPr>
              <w:pStyle w:val="Title"/>
              <w:spacing w:after="0"/>
              <w:jc w:val="both"/>
              <w:rPr>
                <w:rFonts w:ascii="Corbel" w:hAnsi="Corbel" w:cs="Arial"/>
                <w:sz w:val="24"/>
                <w:szCs w:val="24"/>
              </w:rPr>
            </w:pPr>
            <w:r w:rsidRPr="00E54846">
              <w:rPr>
                <w:rFonts w:ascii="Corbel" w:hAnsi="Corbel" w:cs="Arial"/>
                <w:sz w:val="24"/>
                <w:szCs w:val="24"/>
              </w:rPr>
              <w:t>Fixed costs in relation to the RTA Protocol were reduced.</w:t>
            </w:r>
          </w:p>
          <w:p w:rsidR="001C6FF3" w:rsidRPr="00E54846" w:rsidRDefault="001C6FF3" w:rsidP="00E14136">
            <w:pPr>
              <w:pStyle w:val="Title"/>
              <w:spacing w:after="0"/>
              <w:jc w:val="both"/>
              <w:rPr>
                <w:rFonts w:ascii="Corbel" w:hAnsi="Corbel"/>
                <w:sz w:val="24"/>
                <w:szCs w:val="24"/>
                <w:lang w:eastAsia="en-GB"/>
              </w:rPr>
            </w:pPr>
          </w:p>
        </w:tc>
      </w:tr>
      <w:tr w:rsidR="001C6FF3" w:rsidRPr="00E54846" w:rsidTr="008A7CE5">
        <w:trPr>
          <w:trHeight w:val="2983"/>
        </w:trPr>
        <w:tc>
          <w:tcPr>
            <w:tcW w:w="2340" w:type="dxa"/>
            <w:tcBorders>
              <w:top w:val="single" w:sz="4" w:space="0" w:color="auto"/>
              <w:left w:val="single" w:sz="8" w:space="0" w:color="auto"/>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31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JULY 2013</w:t>
            </w:r>
          </w:p>
        </w:tc>
        <w:tc>
          <w:tcPr>
            <w:tcW w:w="6902" w:type="dxa"/>
            <w:tcBorders>
              <w:top w:val="single" w:sz="4" w:space="0" w:color="auto"/>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C6FF3" w:rsidRPr="00E54846" w:rsidRDefault="001C6FF3" w:rsidP="00E14136">
            <w:pPr>
              <w:pStyle w:val="Title"/>
              <w:spacing w:after="0"/>
              <w:jc w:val="both"/>
              <w:rPr>
                <w:rFonts w:ascii="Corbel" w:hAnsi="Corbel"/>
                <w:sz w:val="24"/>
                <w:szCs w:val="24"/>
              </w:rPr>
            </w:pPr>
            <w:r w:rsidRPr="00E54846">
              <w:rPr>
                <w:rFonts w:ascii="Corbel" w:hAnsi="Corbel" w:cs="Arial"/>
                <w:sz w:val="24"/>
                <w:szCs w:val="24"/>
              </w:rPr>
              <w:t xml:space="preserve">The Civil Procedure (Amendment No.6) Rules 2013 </w:t>
            </w:r>
            <w:r w:rsidRPr="00E54846">
              <w:rPr>
                <w:rFonts w:ascii="Corbel" w:hAnsi="Corbel"/>
                <w:sz w:val="24"/>
                <w:szCs w:val="24"/>
              </w:rPr>
              <w:t xml:space="preserve">and the CPR Direction Update came into force. </w:t>
            </w:r>
          </w:p>
          <w:p w:rsidR="001C6FF3" w:rsidRPr="00E54846" w:rsidRDefault="001C6FF3" w:rsidP="00E14136">
            <w:pPr>
              <w:pStyle w:val="Title"/>
              <w:spacing w:after="0"/>
              <w:jc w:val="both"/>
              <w:rPr>
                <w:rFonts w:ascii="Corbel" w:hAnsi="Corbel"/>
                <w:sz w:val="24"/>
                <w:szCs w:val="24"/>
              </w:rPr>
            </w:pPr>
          </w:p>
          <w:p w:rsidR="001C6FF3" w:rsidRPr="00E54846" w:rsidRDefault="00E54846" w:rsidP="00E14136">
            <w:pPr>
              <w:pStyle w:val="Title"/>
              <w:spacing w:after="0"/>
              <w:jc w:val="both"/>
              <w:rPr>
                <w:rFonts w:ascii="Corbel" w:hAnsi="Corbel"/>
                <w:sz w:val="24"/>
                <w:szCs w:val="24"/>
              </w:rPr>
            </w:pPr>
            <w:r w:rsidRPr="00E54846">
              <w:rPr>
                <w:rFonts w:ascii="Corbel" w:hAnsi="Corbel"/>
                <w:sz w:val="24"/>
                <w:szCs w:val="24"/>
              </w:rPr>
              <w:t>The MOJ Portal was expa</w:t>
            </w:r>
            <w:r w:rsidR="001C6FF3" w:rsidRPr="00E54846">
              <w:rPr>
                <w:rFonts w:ascii="Corbel" w:hAnsi="Corbel"/>
                <w:sz w:val="24"/>
                <w:szCs w:val="24"/>
              </w:rPr>
              <w:t>nded to introduce EL and PL claims and the Portal limit was increased from £10,000.00 to £25,000.00.</w:t>
            </w:r>
          </w:p>
          <w:p w:rsidR="001C6FF3" w:rsidRPr="00E54846" w:rsidRDefault="001C6FF3" w:rsidP="00E14136">
            <w:pPr>
              <w:pStyle w:val="Title"/>
              <w:spacing w:after="0"/>
              <w:jc w:val="both"/>
              <w:rPr>
                <w:rFonts w:ascii="Corbel" w:hAnsi="Corbel"/>
                <w:sz w:val="24"/>
                <w:szCs w:val="24"/>
              </w:rPr>
            </w:pPr>
          </w:p>
          <w:p w:rsidR="001C6FF3" w:rsidRPr="00E54846" w:rsidRDefault="001C6FF3" w:rsidP="00E14136">
            <w:pPr>
              <w:pStyle w:val="Default"/>
              <w:jc w:val="both"/>
              <w:rPr>
                <w:rFonts w:ascii="Corbel" w:hAnsi="Corbel"/>
              </w:rPr>
            </w:pPr>
            <w:r w:rsidRPr="00E54846">
              <w:rPr>
                <w:rFonts w:ascii="Corbel" w:hAnsi="Corbel"/>
              </w:rPr>
              <w:t>Fixed recoverable costs were introduced for the claims which no longer continue under the RTA or EL/PL Pre-Action Protocols (the exception is Industrial Disease cases).</w:t>
            </w:r>
          </w:p>
          <w:p w:rsidR="001C6FF3" w:rsidRPr="00E54846" w:rsidRDefault="001C6FF3" w:rsidP="00E14136">
            <w:pPr>
              <w:pStyle w:val="Title"/>
              <w:spacing w:after="0"/>
              <w:jc w:val="both"/>
              <w:rPr>
                <w:rFonts w:ascii="Corbel" w:hAnsi="Corbel"/>
                <w:sz w:val="24"/>
                <w:szCs w:val="24"/>
              </w:rPr>
            </w:pPr>
          </w:p>
          <w:p w:rsidR="001C6FF3" w:rsidRPr="00E54846" w:rsidRDefault="001C6FF3" w:rsidP="00E14136">
            <w:pPr>
              <w:pStyle w:val="Default"/>
              <w:jc w:val="both"/>
              <w:rPr>
                <w:rFonts w:ascii="Corbel" w:hAnsi="Corbel"/>
              </w:rPr>
            </w:pPr>
            <w:r w:rsidRPr="00E54846">
              <w:rPr>
                <w:rFonts w:ascii="Corbel" w:hAnsi="Corbel"/>
              </w:rPr>
              <w:t>New Pre-Action Protocols came into force: Pre-Action Protocol for Low Value Personal Injury Claims in RTA, Pre-Action Protocol for Personal Injury Claims, Pre-Action Protocol for Disease and Illness Claims and Pre-Action Protocol for Low Value Personal Injury (Employers’ Liability and Public Liability) Claims.</w:t>
            </w:r>
          </w:p>
          <w:p w:rsidR="001C6FF3" w:rsidRPr="00E54846" w:rsidRDefault="001C6FF3" w:rsidP="00E14136">
            <w:pPr>
              <w:pStyle w:val="Default"/>
              <w:jc w:val="both"/>
              <w:rPr>
                <w:rFonts w:ascii="Corbel" w:hAnsi="Corbel"/>
              </w:rPr>
            </w:pPr>
          </w:p>
        </w:tc>
      </w:tr>
      <w:tr w:rsidR="001C6FF3" w:rsidRPr="00E54846" w:rsidTr="008A7CE5">
        <w:trPr>
          <w:trHeight w:val="1059"/>
        </w:trPr>
        <w:tc>
          <w:tcPr>
            <w:tcW w:w="2340" w:type="dxa"/>
            <w:tcBorders>
              <w:top w:val="single" w:sz="4" w:space="0" w:color="auto"/>
              <w:left w:val="single" w:sz="8" w:space="0" w:color="auto"/>
              <w:bottom w:val="single" w:sz="4" w:space="0" w:color="auto"/>
              <w:right w:val="single" w:sz="8" w:space="0" w:color="auto"/>
            </w:tcBorders>
            <w:shd w:val="clear" w:color="auto" w:fill="E36C0A" w:themeFill="accent6" w:themeFillShade="BF"/>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2013</w:t>
            </w:r>
          </w:p>
        </w:tc>
        <w:tc>
          <w:tcPr>
            <w:tcW w:w="6902" w:type="dxa"/>
            <w:tcBorders>
              <w:top w:val="single" w:sz="4" w:space="0" w:color="auto"/>
              <w:left w:val="nil"/>
              <w:bottom w:val="single" w:sz="4" w:space="0" w:color="auto"/>
              <w:right w:val="single" w:sz="8" w:space="0" w:color="auto"/>
            </w:tcBorders>
            <w:shd w:val="clear" w:color="auto" w:fill="E36C0A" w:themeFill="accent6" w:themeFillShade="BF"/>
            <w:tcMar>
              <w:top w:w="0" w:type="dxa"/>
              <w:left w:w="108" w:type="dxa"/>
              <w:bottom w:w="0" w:type="dxa"/>
              <w:right w:w="108" w:type="dxa"/>
            </w:tcMar>
            <w:hideMark/>
          </w:tcPr>
          <w:p w:rsidR="001C6FF3" w:rsidRPr="00E54846" w:rsidRDefault="001C6FF3" w:rsidP="00E14136">
            <w:pPr>
              <w:pStyle w:val="Default"/>
              <w:jc w:val="both"/>
              <w:rPr>
                <w:rFonts w:ascii="Corbel" w:hAnsi="Corbel"/>
              </w:rPr>
            </w:pPr>
            <w:r w:rsidRPr="00E54846">
              <w:rPr>
                <w:rFonts w:ascii="Corbel" w:hAnsi="Corbel"/>
              </w:rPr>
              <w:t>The Civil Procedure (Amendment No.7) Rules 2013.</w:t>
            </w:r>
          </w:p>
          <w:p w:rsidR="001C6FF3" w:rsidRPr="00E54846" w:rsidRDefault="001C6FF3" w:rsidP="00E14136">
            <w:pPr>
              <w:pStyle w:val="Default"/>
              <w:jc w:val="both"/>
              <w:rPr>
                <w:rFonts w:ascii="Corbel" w:hAnsi="Corbel"/>
              </w:rPr>
            </w:pPr>
          </w:p>
          <w:p w:rsidR="001C6FF3" w:rsidRPr="00E54846" w:rsidRDefault="001C6FF3" w:rsidP="00E14136">
            <w:pPr>
              <w:pStyle w:val="Default"/>
              <w:jc w:val="both"/>
              <w:rPr>
                <w:rFonts w:ascii="Corbel" w:hAnsi="Corbel"/>
              </w:rPr>
            </w:pPr>
            <w:r w:rsidRPr="00E54846">
              <w:rPr>
                <w:rFonts w:ascii="Corbel" w:hAnsi="Corbel"/>
              </w:rPr>
              <w:t>The maximum amount of costs awarded for provisional assessment was limited to £1,500.00 plus VAT and Court fees.</w:t>
            </w:r>
          </w:p>
          <w:p w:rsidR="001C6FF3" w:rsidRPr="00E54846" w:rsidRDefault="001C6FF3" w:rsidP="00E14136">
            <w:pPr>
              <w:pStyle w:val="Default"/>
              <w:jc w:val="both"/>
              <w:rPr>
                <w:rFonts w:ascii="Corbel" w:hAnsi="Corbel"/>
              </w:rPr>
            </w:pPr>
          </w:p>
        </w:tc>
      </w:tr>
      <w:tr w:rsidR="001C6FF3" w:rsidRPr="00E54846" w:rsidTr="008A7CE5">
        <w:trPr>
          <w:trHeight w:val="272"/>
        </w:trPr>
        <w:tc>
          <w:tcPr>
            <w:tcW w:w="2340" w:type="dxa"/>
            <w:tcBorders>
              <w:top w:val="single" w:sz="4" w:space="0" w:color="auto"/>
              <w:left w:val="single" w:sz="8" w:space="0" w:color="auto"/>
              <w:bottom w:val="single" w:sz="4" w:space="0" w:color="auto"/>
              <w:right w:val="single" w:sz="8" w:space="0" w:color="auto"/>
            </w:tcBorders>
            <w:shd w:val="clear" w:color="auto" w:fill="92CDDC" w:themeFill="accent5"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22</w:t>
            </w:r>
            <w:r w:rsidRPr="00E54846">
              <w:rPr>
                <w:rFonts w:ascii="Corbel" w:eastAsia="Times New Roman" w:hAnsi="Corbel" w:cs="Times New Roman"/>
                <w:sz w:val="24"/>
                <w:szCs w:val="24"/>
                <w:vertAlign w:val="superscript"/>
                <w:lang w:eastAsia="en-GB"/>
              </w:rPr>
              <w:t>ND</w:t>
            </w:r>
            <w:r w:rsidRPr="00E54846">
              <w:rPr>
                <w:rFonts w:ascii="Corbel" w:eastAsia="Times New Roman" w:hAnsi="Corbel" w:cs="Times New Roman"/>
                <w:sz w:val="24"/>
                <w:szCs w:val="24"/>
                <w:lang w:eastAsia="en-GB"/>
              </w:rPr>
              <w:t xml:space="preserve"> APRIL 2014</w:t>
            </w:r>
          </w:p>
        </w:tc>
        <w:tc>
          <w:tcPr>
            <w:tcW w:w="6902" w:type="dxa"/>
            <w:tcBorders>
              <w:top w:val="single" w:sz="4" w:space="0" w:color="auto"/>
              <w:left w:val="nil"/>
              <w:bottom w:val="single" w:sz="4" w:space="0" w:color="auto"/>
              <w:right w:val="single" w:sz="8" w:space="0" w:color="auto"/>
            </w:tcBorders>
            <w:shd w:val="clear" w:color="auto" w:fill="92CDDC" w:themeFill="accent5" w:themeFillTint="99"/>
            <w:tcMar>
              <w:top w:w="0" w:type="dxa"/>
              <w:left w:w="108" w:type="dxa"/>
              <w:bottom w:w="0" w:type="dxa"/>
              <w:right w:w="108" w:type="dxa"/>
            </w:tcMar>
            <w:hideMark/>
          </w:tcPr>
          <w:p w:rsidR="001C6FF3" w:rsidRPr="00E54846" w:rsidRDefault="001C6FF3" w:rsidP="00E14136">
            <w:pPr>
              <w:autoSpaceDE w:val="0"/>
              <w:autoSpaceDN w:val="0"/>
              <w:adjustRightInd w:val="0"/>
              <w:spacing w:after="0" w:line="240" w:lineRule="auto"/>
              <w:jc w:val="both"/>
              <w:rPr>
                <w:rFonts w:ascii="Corbel" w:hAnsi="Corbel" w:cs="Times-Roman"/>
                <w:sz w:val="24"/>
                <w:szCs w:val="24"/>
              </w:rPr>
            </w:pPr>
            <w:r w:rsidRPr="00E54846">
              <w:rPr>
                <w:rFonts w:ascii="Corbel" w:hAnsi="Corbel" w:cs="Times-Roman"/>
                <w:sz w:val="24"/>
                <w:szCs w:val="24"/>
              </w:rPr>
              <w:t>The Civil Proceedings Fees (Amendment) Order 2014 came into force.</w:t>
            </w:r>
          </w:p>
          <w:p w:rsidR="001C6FF3" w:rsidRPr="00E54846" w:rsidRDefault="001C6FF3" w:rsidP="00E14136">
            <w:pPr>
              <w:autoSpaceDE w:val="0"/>
              <w:autoSpaceDN w:val="0"/>
              <w:adjustRightInd w:val="0"/>
              <w:spacing w:after="0" w:line="240" w:lineRule="auto"/>
              <w:jc w:val="both"/>
              <w:rPr>
                <w:rFonts w:ascii="Corbel" w:hAnsi="Corbel" w:cs="Times-Roman"/>
                <w:sz w:val="24"/>
                <w:szCs w:val="24"/>
              </w:rPr>
            </w:pPr>
          </w:p>
          <w:p w:rsidR="001C6FF3" w:rsidRPr="00E54846" w:rsidRDefault="001C6FF3" w:rsidP="00E14136">
            <w:pPr>
              <w:autoSpaceDE w:val="0"/>
              <w:autoSpaceDN w:val="0"/>
              <w:adjustRightInd w:val="0"/>
              <w:spacing w:after="0" w:line="240" w:lineRule="auto"/>
              <w:jc w:val="both"/>
              <w:rPr>
                <w:rFonts w:ascii="Corbel" w:hAnsi="Corbel" w:cs="Times-Roman"/>
                <w:sz w:val="24"/>
                <w:szCs w:val="24"/>
              </w:rPr>
            </w:pPr>
            <w:r w:rsidRPr="00E54846">
              <w:rPr>
                <w:rFonts w:ascii="Corbel" w:hAnsi="Corbel" w:cs="Times-Roman"/>
                <w:sz w:val="24"/>
                <w:szCs w:val="24"/>
              </w:rPr>
              <w:t>Allocation fee has been abolished. The cost of the allocation process has now been included in the issue fees and the cost of the listing process in the hearing fees.</w:t>
            </w:r>
          </w:p>
          <w:p w:rsidR="001C6FF3" w:rsidRPr="00E54846" w:rsidRDefault="001C6FF3" w:rsidP="00E14136">
            <w:pPr>
              <w:autoSpaceDE w:val="0"/>
              <w:autoSpaceDN w:val="0"/>
              <w:adjustRightInd w:val="0"/>
              <w:spacing w:after="0" w:line="240" w:lineRule="auto"/>
              <w:jc w:val="both"/>
              <w:rPr>
                <w:rFonts w:ascii="Corbel" w:hAnsi="Corbel"/>
                <w:sz w:val="24"/>
                <w:szCs w:val="24"/>
              </w:rPr>
            </w:pPr>
          </w:p>
        </w:tc>
      </w:tr>
      <w:tr w:rsidR="001C6FF3" w:rsidRPr="00E54846" w:rsidTr="008A7CE5">
        <w:trPr>
          <w:trHeight w:val="576"/>
        </w:trPr>
        <w:tc>
          <w:tcPr>
            <w:tcW w:w="2340" w:type="dxa"/>
            <w:tcBorders>
              <w:top w:val="single" w:sz="4"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lastRenderedPageBreak/>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2014</w:t>
            </w:r>
          </w:p>
        </w:tc>
        <w:tc>
          <w:tcPr>
            <w:tcW w:w="6902" w:type="dxa"/>
            <w:tcBorders>
              <w:top w:val="single" w:sz="4"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rsidR="001C6FF3" w:rsidRPr="00E54846" w:rsidRDefault="001C6FF3" w:rsidP="00E14136">
            <w:pPr>
              <w:pStyle w:val="Default"/>
              <w:jc w:val="both"/>
              <w:rPr>
                <w:rFonts w:ascii="Corbel" w:hAnsi="Corbel"/>
              </w:rPr>
            </w:pPr>
            <w:r w:rsidRPr="00E54846">
              <w:rPr>
                <w:rFonts w:ascii="Corbel" w:hAnsi="Corbel"/>
              </w:rPr>
              <w:t>The Civil Procedure (Amendment No. 6) Rules 2014.</w:t>
            </w:r>
          </w:p>
          <w:p w:rsidR="001C6FF3" w:rsidRPr="00E54846" w:rsidRDefault="001C6FF3" w:rsidP="00E14136">
            <w:pPr>
              <w:pStyle w:val="Default"/>
              <w:jc w:val="both"/>
              <w:rPr>
                <w:rFonts w:ascii="Corbel" w:hAnsi="Corbel"/>
              </w:rPr>
            </w:pPr>
          </w:p>
          <w:p w:rsidR="001C6FF3" w:rsidRPr="00E54846" w:rsidRDefault="001C6FF3" w:rsidP="00E14136">
            <w:pPr>
              <w:pStyle w:val="Default"/>
              <w:jc w:val="both"/>
              <w:rPr>
                <w:rFonts w:ascii="Corbel" w:hAnsi="Corbel"/>
              </w:rPr>
            </w:pPr>
            <w:r w:rsidRPr="00E54846">
              <w:rPr>
                <w:rFonts w:ascii="Corbel" w:hAnsi="Corbel"/>
              </w:rPr>
              <w:t>Fixed fees for medical reports and records in</w:t>
            </w:r>
            <w:r w:rsidRPr="00E54846">
              <w:rPr>
                <w:rStyle w:val="legamendingtext"/>
                <w:rFonts w:ascii="Corbel" w:hAnsi="Corbel"/>
              </w:rPr>
              <w:t xml:space="preserve"> a soft tissue injury claim to which the RTA Protocol applies</w:t>
            </w:r>
            <w:r w:rsidRPr="00E54846">
              <w:rPr>
                <w:rFonts w:ascii="Corbel" w:hAnsi="Corbel"/>
              </w:rPr>
              <w:t xml:space="preserve"> came into force.</w:t>
            </w:r>
          </w:p>
          <w:p w:rsidR="001C6FF3" w:rsidRPr="00E54846" w:rsidRDefault="001C6FF3" w:rsidP="00E14136">
            <w:pPr>
              <w:pStyle w:val="Default"/>
              <w:jc w:val="both"/>
              <w:rPr>
                <w:rFonts w:ascii="Corbel" w:hAnsi="Corbel"/>
              </w:rPr>
            </w:pPr>
            <w:r w:rsidRPr="00E54846">
              <w:rPr>
                <w:rFonts w:ascii="Corbel" w:hAnsi="Corbel"/>
              </w:rPr>
              <w:t xml:space="preserve"> </w:t>
            </w:r>
          </w:p>
        </w:tc>
      </w:tr>
      <w:tr w:rsidR="001C6FF3" w:rsidRPr="00E54846" w:rsidTr="008A7CE5">
        <w:tc>
          <w:tcPr>
            <w:tcW w:w="2340" w:type="dxa"/>
            <w:tcBorders>
              <w:top w:val="nil"/>
              <w:left w:val="single" w:sz="8" w:space="0" w:color="auto"/>
              <w:bottom w:val="single" w:sz="8" w:space="0" w:color="auto"/>
              <w:right w:val="single" w:sz="8" w:space="0" w:color="auto"/>
            </w:tcBorders>
            <w:shd w:val="clear" w:color="auto" w:fill="C2D69B" w:themeFill="accent3"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 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2015</w:t>
            </w:r>
          </w:p>
        </w:tc>
        <w:tc>
          <w:tcPr>
            <w:tcW w:w="6902" w:type="dxa"/>
            <w:tcBorders>
              <w:top w:val="nil"/>
              <w:left w:val="nil"/>
              <w:bottom w:val="single" w:sz="8" w:space="0" w:color="auto"/>
              <w:right w:val="single" w:sz="8" w:space="0" w:color="auto"/>
            </w:tcBorders>
            <w:shd w:val="clear" w:color="auto" w:fill="C2D69B" w:themeFill="accent3"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Arial"/>
                <w:sz w:val="24"/>
                <w:szCs w:val="24"/>
                <w:lang w:eastAsia="en-GB"/>
              </w:rPr>
            </w:pPr>
            <w:r w:rsidRPr="00E54846">
              <w:rPr>
                <w:rFonts w:ascii="Corbel" w:hAnsi="Corbel" w:cs="Arial"/>
                <w:sz w:val="24"/>
                <w:szCs w:val="24"/>
              </w:rPr>
              <w:t>The Civil Procedure (Amendment No. 8) Rules 2014. A lot of changes regarding Part 36 offers have been made: t</w:t>
            </w:r>
            <w:r w:rsidRPr="00E54846">
              <w:rPr>
                <w:rFonts w:ascii="Corbel" w:hAnsi="Corbel"/>
                <w:sz w:val="24"/>
                <w:szCs w:val="24"/>
              </w:rPr>
              <w:t>he Part 36 procedure extends to counterclaims, additional claims, appeals and cross-appeals; an offer can be made at any time, including pre-issue; there are now separate rules dealing with the withdrawal of an offer or the changing of its terms, t</w:t>
            </w:r>
            <w:r w:rsidRPr="00E54846">
              <w:rPr>
                <w:rFonts w:ascii="Corbel" w:eastAsia="Times New Roman" w:hAnsi="Corbel" w:cs="Times New Roman"/>
                <w:sz w:val="24"/>
                <w:szCs w:val="24"/>
                <w:lang w:eastAsia="en-GB"/>
              </w:rPr>
              <w:t xml:space="preserve">here are provisions in relation </w:t>
            </w:r>
            <w:r w:rsidRPr="00E54846">
              <w:rPr>
                <w:rFonts w:ascii="Corbel" w:hAnsi="Corbel"/>
                <w:sz w:val="24"/>
                <w:szCs w:val="24"/>
              </w:rPr>
              <w:t>withdrawal of an offer before the expiry of the relevant period and changing the terms to be less advantageous to the offeree, etc.</w:t>
            </w:r>
          </w:p>
          <w:p w:rsidR="001C6FF3" w:rsidRPr="00E54846" w:rsidRDefault="001C6FF3" w:rsidP="00E14136">
            <w:pPr>
              <w:spacing w:line="240" w:lineRule="auto"/>
              <w:jc w:val="both"/>
              <w:rPr>
                <w:rFonts w:ascii="Corbel" w:eastAsia="Times New Roman" w:hAnsi="Corbel" w:cs="Arial"/>
                <w:sz w:val="24"/>
                <w:szCs w:val="24"/>
                <w:lang w:eastAsia="en-GB"/>
              </w:rPr>
            </w:pPr>
            <w:r w:rsidRPr="00E54846">
              <w:rPr>
                <w:rFonts w:ascii="Corbel" w:hAnsi="Corbel" w:cs="Arial"/>
                <w:sz w:val="24"/>
                <w:szCs w:val="24"/>
              </w:rPr>
              <w:t xml:space="preserve">The Pre-Action Conduct Practice Direction was also amended and </w:t>
            </w:r>
            <w:r w:rsidRPr="00E54846">
              <w:rPr>
                <w:rFonts w:ascii="Corbel" w:eastAsia="Times New Roman" w:hAnsi="Corbel" w:cs="Arial"/>
                <w:sz w:val="24"/>
                <w:szCs w:val="24"/>
                <w:lang w:eastAsia="en-GB"/>
              </w:rPr>
              <w:t>the following Pre-Action Protocols have been amended and come into force: The Pre-Action Protocol for Personal Injury Claims; The Pre-Action Protocol for the Resolution of Clinical Disputes; The Pre-Action Protocol for Professional Negligence; The Pre-Action Protocol for Judicial Review; The Pre-Action Protocol for Housing Disrepair Cases; The Pre-Action Protocol for Possession Claims by Social Landlords; The Pre-Action Protocol for Possession Claims Based on Mortgage or Home Purchase Plan Arrears in Respect of Residential Property; The Pre-Action Protocol for Low Value Personal Injury (Employers Liability and Public Liability) Claims.</w:t>
            </w:r>
          </w:p>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Amendments were made to Part 45, PD8B, 16, PD35 and Pre-Action Protocol for Low Value Personal Injury (Employers’ Liability and Public Liability) Claims. Medico-legal experts and medical reporting organisations (MRO) will need to be registered with MedCo in order to provide medico-legal reports for RTA soft tissue injury claims.</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cs="Arial"/>
                <w:sz w:val="24"/>
                <w:szCs w:val="24"/>
              </w:rPr>
              <w:t>Amendments were made to reflect when and how a deduction from damages of a sum to meet any shortfall between the costs recoverable from the other party and the “solicitor and own client” costs payable to the child's/protected party's solicitors applies. The amendments are confined to those cases where the award or ordered do not exceed £25,000.</w:t>
            </w:r>
          </w:p>
        </w:tc>
      </w:tr>
      <w:tr w:rsidR="001C6FF3" w:rsidRPr="00E54846" w:rsidTr="008A7CE5">
        <w:tc>
          <w:tcPr>
            <w:tcW w:w="2340" w:type="dxa"/>
            <w:tcBorders>
              <w:top w:val="nil"/>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lastRenderedPageBreak/>
              <w:t> 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2015</w:t>
            </w:r>
          </w:p>
        </w:tc>
        <w:tc>
          <w:tcPr>
            <w:tcW w:w="6902" w:type="dxa"/>
            <w:tcBorders>
              <w:top w:val="nil"/>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hideMark/>
          </w:tcPr>
          <w:p w:rsidR="001C6FF3" w:rsidRPr="00E54846" w:rsidRDefault="001C6FF3" w:rsidP="00E14136">
            <w:pPr>
              <w:spacing w:before="100" w:beforeAutospacing="1" w:after="100" w:afterAutospacing="1" w:line="240" w:lineRule="auto"/>
              <w:jc w:val="both"/>
              <w:rPr>
                <w:rFonts w:ascii="Corbel" w:hAnsi="Corbel"/>
                <w:color w:val="262626"/>
                <w:sz w:val="24"/>
                <w:szCs w:val="24"/>
              </w:rPr>
            </w:pPr>
            <w:r w:rsidRPr="00E54846">
              <w:rPr>
                <w:rFonts w:ascii="Corbel" w:hAnsi="Corbel" w:cs="Arial"/>
                <w:sz w:val="24"/>
                <w:szCs w:val="24"/>
              </w:rPr>
              <w:t>The Civil Procedure (Amendment No. 4) Rules 2015.</w:t>
            </w:r>
          </w:p>
          <w:p w:rsidR="001C6FF3" w:rsidRPr="00E54846" w:rsidRDefault="001C6FF3" w:rsidP="00E14136">
            <w:pPr>
              <w:spacing w:before="100" w:beforeAutospacing="1" w:after="100" w:afterAutospacing="1" w:line="240" w:lineRule="auto"/>
              <w:jc w:val="both"/>
              <w:rPr>
                <w:rFonts w:ascii="Corbel" w:hAnsi="Corbel" w:cs="Arial"/>
                <w:sz w:val="24"/>
                <w:szCs w:val="24"/>
              </w:rPr>
            </w:pPr>
            <w:r w:rsidRPr="00E54846">
              <w:rPr>
                <w:rFonts w:ascii="Corbel" w:hAnsi="Corbel"/>
                <w:color w:val="262626"/>
                <w:sz w:val="24"/>
                <w:szCs w:val="24"/>
              </w:rPr>
              <w:t>Came into force the rule that</w:t>
            </w:r>
            <w:r w:rsidRPr="00E54846">
              <w:rPr>
                <w:rFonts w:ascii="Corbel" w:hAnsi="Corbel" w:cs="Arial"/>
                <w:sz w:val="24"/>
                <w:szCs w:val="24"/>
              </w:rPr>
              <w:t xml:space="preserve"> </w:t>
            </w:r>
            <w:r w:rsidRPr="00E54846">
              <w:rPr>
                <w:rStyle w:val="legamendingtext"/>
                <w:rFonts w:ascii="Corbel" w:hAnsi="Corbel" w:cs="Arial"/>
                <w:sz w:val="24"/>
                <w:szCs w:val="24"/>
              </w:rPr>
              <w:t xml:space="preserve">a breakdown of the costs claimed for each phase of the proceedings should </w:t>
            </w:r>
            <w:r w:rsidRPr="00E54846">
              <w:rPr>
                <w:rFonts w:ascii="Corbel" w:hAnsi="Corbel" w:cs="Arial"/>
                <w:sz w:val="24"/>
                <w:szCs w:val="24"/>
              </w:rPr>
              <w:t xml:space="preserve">be provided </w:t>
            </w:r>
            <w:r w:rsidRPr="00E54846">
              <w:rPr>
                <w:rFonts w:ascii="Corbel" w:hAnsi="Corbel"/>
                <w:color w:val="262626"/>
                <w:sz w:val="24"/>
                <w:szCs w:val="24"/>
              </w:rPr>
              <w:t>when commencing detailed assessment of costs if a costs management order has been made and a model Precedent Q was introduced.</w:t>
            </w:r>
            <w:r w:rsidRPr="00E54846">
              <w:rPr>
                <w:rStyle w:val="legamendingtext"/>
                <w:rFonts w:ascii="Corbel" w:hAnsi="Corbel" w:cs="Arial"/>
                <w:sz w:val="24"/>
                <w:szCs w:val="24"/>
              </w:rPr>
              <w:t xml:space="preserve"> </w:t>
            </w:r>
          </w:p>
          <w:p w:rsidR="001C6FF3" w:rsidRPr="00E54846" w:rsidRDefault="001C6FF3" w:rsidP="00E14136">
            <w:pPr>
              <w:spacing w:after="0" w:line="240" w:lineRule="auto"/>
              <w:jc w:val="both"/>
              <w:rPr>
                <w:rFonts w:ascii="Corbel" w:eastAsia="Times New Roman" w:hAnsi="Corbel" w:cs="Arial"/>
                <w:sz w:val="24"/>
                <w:szCs w:val="24"/>
                <w:lang w:eastAsia="en-GB"/>
              </w:rPr>
            </w:pPr>
            <w:r w:rsidRPr="00E54846">
              <w:rPr>
                <w:rFonts w:ascii="Corbel" w:eastAsia="Times New Roman" w:hAnsi="Corbel" w:cs="Arial"/>
                <w:bCs/>
                <w:sz w:val="24"/>
                <w:szCs w:val="24"/>
                <w:lang w:eastAsia="en-GB"/>
              </w:rPr>
              <w:t xml:space="preserve">Also Practice Direction 51L introduced New Bill of Costs Pilot Scheme </w:t>
            </w:r>
            <w:r w:rsidRPr="00E54846">
              <w:rPr>
                <w:rFonts w:ascii="Corbel" w:eastAsia="Times New Roman" w:hAnsi="Corbel" w:cs="Arial"/>
                <w:sz w:val="24"/>
                <w:szCs w:val="24"/>
                <w:lang w:eastAsia="en-GB"/>
              </w:rPr>
              <w:t>for testing new Bill of Costs, Precedent AA (electronic Bills), to reflect the costs management and costs budgeting procedures.</w:t>
            </w:r>
          </w:p>
          <w:p w:rsidR="001C6FF3" w:rsidRPr="00E54846" w:rsidRDefault="001C6FF3" w:rsidP="00E14136">
            <w:pPr>
              <w:spacing w:after="0" w:line="240" w:lineRule="auto"/>
              <w:jc w:val="both"/>
              <w:rPr>
                <w:rFonts w:ascii="Corbel" w:eastAsia="Times New Roman" w:hAnsi="Corbel" w:cs="Times New Roman"/>
                <w:sz w:val="24"/>
                <w:szCs w:val="24"/>
                <w:lang w:eastAsia="en-GB"/>
              </w:rPr>
            </w:pPr>
          </w:p>
        </w:tc>
      </w:tr>
      <w:tr w:rsidR="001C6FF3" w:rsidRPr="00E54846" w:rsidTr="008A7CE5">
        <w:tc>
          <w:tcPr>
            <w:tcW w:w="2340" w:type="dxa"/>
            <w:tcBorders>
              <w:top w:val="nil"/>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 7</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DECEMBER 2015</w:t>
            </w:r>
          </w:p>
        </w:tc>
        <w:tc>
          <w:tcPr>
            <w:tcW w:w="6902"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cs="Arial"/>
                <w:sz w:val="24"/>
                <w:szCs w:val="24"/>
              </w:rPr>
              <w:t xml:space="preserve">The existing practice direction is replaced to give effect to changes that will allow increased communication with and by the County Court by way of e-mail, and to remove references to services which are no longer operational. </w:t>
            </w:r>
          </w:p>
        </w:tc>
      </w:tr>
      <w:tr w:rsidR="001C6FF3" w:rsidRPr="00E54846" w:rsidTr="008A7CE5">
        <w:tc>
          <w:tcPr>
            <w:tcW w:w="2340" w:type="dxa"/>
            <w:tcBorders>
              <w:top w:val="nil"/>
              <w:left w:val="single" w:sz="8" w:space="0" w:color="auto"/>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 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2016</w:t>
            </w:r>
          </w:p>
        </w:tc>
        <w:tc>
          <w:tcPr>
            <w:tcW w:w="6902" w:type="dxa"/>
            <w:tcBorders>
              <w:top w:val="nil"/>
              <w:left w:val="nil"/>
              <w:bottom w:val="single" w:sz="8" w:space="0" w:color="auto"/>
              <w:right w:val="single" w:sz="8" w:space="0" w:color="auto"/>
            </w:tcBorders>
            <w:shd w:val="clear" w:color="auto" w:fill="E5DFEC" w:themeFill="accent4" w:themeFillTint="33"/>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Rules 2016.</w:t>
            </w:r>
          </w:p>
          <w:p w:rsidR="001C6FF3" w:rsidRDefault="001C6FF3" w:rsidP="00E14136">
            <w:pPr>
              <w:spacing w:after="0" w:line="240" w:lineRule="auto"/>
              <w:jc w:val="both"/>
              <w:rPr>
                <w:rFonts w:ascii="Corbel" w:hAnsi="Corbel" w:cs="Arial"/>
                <w:sz w:val="24"/>
                <w:szCs w:val="24"/>
              </w:rPr>
            </w:pPr>
            <w:r w:rsidRPr="00E54846">
              <w:rPr>
                <w:rFonts w:ascii="Corbel" w:hAnsi="Corbel" w:cs="Arial"/>
                <w:sz w:val="24"/>
                <w:szCs w:val="24"/>
              </w:rPr>
              <w:t>Came into force the following amendments to the costs management rules:</w:t>
            </w:r>
          </w:p>
          <w:p w:rsidR="00920B8D" w:rsidRPr="00E54846" w:rsidRDefault="00920B8D" w:rsidP="00E14136">
            <w:pPr>
              <w:spacing w:after="0" w:line="240" w:lineRule="auto"/>
              <w:jc w:val="both"/>
              <w:rPr>
                <w:rFonts w:ascii="Corbel" w:hAnsi="Corbel" w:cs="Arial"/>
                <w:sz w:val="24"/>
                <w:szCs w:val="24"/>
              </w:rPr>
            </w:pPr>
          </w:p>
          <w:p w:rsidR="001C6FF3" w:rsidRPr="00E54846" w:rsidRDefault="001C6FF3" w:rsidP="00E14136">
            <w:pPr>
              <w:pStyle w:val="ListParagraph"/>
              <w:numPr>
                <w:ilvl w:val="0"/>
                <w:numId w:val="3"/>
              </w:numPr>
              <w:spacing w:after="0" w:line="240" w:lineRule="auto"/>
              <w:jc w:val="both"/>
              <w:rPr>
                <w:rFonts w:ascii="Corbel" w:hAnsi="Corbel" w:cs="Arial"/>
                <w:sz w:val="24"/>
                <w:szCs w:val="24"/>
              </w:rPr>
            </w:pPr>
            <w:r w:rsidRPr="00E54846">
              <w:rPr>
                <w:rFonts w:ascii="Corbel" w:hAnsi="Corbel" w:cs="Arial"/>
                <w:sz w:val="24"/>
                <w:szCs w:val="24"/>
              </w:rPr>
              <w:t>Only the first page of Precedent H is to be exchanged and filed in cases where the value of the claims is under £50,000 or the costs are less than £25,000.</w:t>
            </w:r>
          </w:p>
          <w:p w:rsidR="001C6FF3" w:rsidRPr="00E54846" w:rsidRDefault="001C6FF3" w:rsidP="00E14136">
            <w:pPr>
              <w:pStyle w:val="ListParagraph"/>
              <w:numPr>
                <w:ilvl w:val="0"/>
                <w:numId w:val="3"/>
              </w:numPr>
              <w:spacing w:line="240" w:lineRule="auto"/>
              <w:jc w:val="both"/>
              <w:rPr>
                <w:rFonts w:ascii="Corbel" w:hAnsi="Corbel" w:cs="Arial"/>
                <w:sz w:val="24"/>
                <w:szCs w:val="24"/>
              </w:rPr>
            </w:pPr>
            <w:r w:rsidRPr="00E54846">
              <w:rPr>
                <w:rFonts w:ascii="Corbel" w:hAnsi="Corbel" w:cs="Arial"/>
                <w:sz w:val="24"/>
                <w:szCs w:val="24"/>
              </w:rPr>
              <w:t>Claims made on behalf of a child are also excluded from the regime, and in cases where the Claimant has a limited or severely impaired life expectation the court will ordinarily disapply cost management.</w:t>
            </w:r>
          </w:p>
          <w:p w:rsidR="001C6FF3" w:rsidRPr="00E54846" w:rsidRDefault="001C6FF3" w:rsidP="00E14136">
            <w:pPr>
              <w:pStyle w:val="ListParagraph"/>
              <w:numPr>
                <w:ilvl w:val="0"/>
                <w:numId w:val="3"/>
              </w:numPr>
              <w:spacing w:line="240" w:lineRule="auto"/>
              <w:jc w:val="both"/>
              <w:rPr>
                <w:rFonts w:ascii="Corbel" w:hAnsi="Corbel" w:cs="Arial"/>
                <w:sz w:val="24"/>
                <w:szCs w:val="24"/>
              </w:rPr>
            </w:pPr>
            <w:r w:rsidRPr="00E54846">
              <w:rPr>
                <w:rFonts w:ascii="Corbel" w:hAnsi="Corbel" w:cs="Arial"/>
                <w:sz w:val="24"/>
                <w:szCs w:val="24"/>
              </w:rPr>
              <w:t>The point at which a costs budget must be filed: for lower value claims the budget must be filed with the Directions Questionnaire, for other claims it must be filed 21 days before the case management conference.</w:t>
            </w:r>
          </w:p>
          <w:p w:rsidR="001C6FF3" w:rsidRPr="00E54846" w:rsidRDefault="001C6FF3" w:rsidP="00E14136">
            <w:pPr>
              <w:pStyle w:val="ListParagraph"/>
              <w:numPr>
                <w:ilvl w:val="0"/>
                <w:numId w:val="3"/>
              </w:numPr>
              <w:spacing w:line="240" w:lineRule="auto"/>
              <w:jc w:val="both"/>
              <w:rPr>
                <w:rFonts w:ascii="Corbel" w:hAnsi="Corbel" w:cs="Arial"/>
                <w:sz w:val="24"/>
                <w:szCs w:val="24"/>
              </w:rPr>
            </w:pPr>
            <w:r w:rsidRPr="00E54846">
              <w:rPr>
                <w:rFonts w:ascii="Corbel" w:hAnsi="Corbel" w:cs="Arial"/>
                <w:sz w:val="24"/>
                <w:szCs w:val="24"/>
              </w:rPr>
              <w:t>Agreed budget discussion reports must be filed seven days before the first hearing.</w:t>
            </w:r>
          </w:p>
          <w:p w:rsidR="001C6FF3" w:rsidRPr="00E54846" w:rsidRDefault="001C6FF3" w:rsidP="00E14136">
            <w:pPr>
              <w:pStyle w:val="ListParagraph"/>
              <w:numPr>
                <w:ilvl w:val="0"/>
                <w:numId w:val="3"/>
              </w:numPr>
              <w:spacing w:line="240" w:lineRule="auto"/>
              <w:jc w:val="both"/>
              <w:rPr>
                <w:rFonts w:ascii="Corbel" w:hAnsi="Corbel" w:cs="Arial"/>
                <w:sz w:val="24"/>
                <w:szCs w:val="24"/>
              </w:rPr>
            </w:pPr>
            <w:r w:rsidRPr="00E54846">
              <w:rPr>
                <w:rFonts w:ascii="Corbel" w:hAnsi="Corbel" w:cs="Arial"/>
                <w:sz w:val="24"/>
                <w:szCs w:val="24"/>
              </w:rPr>
              <w:t>Costs claimed in each phase of the proceedings should be made available to the court when assessing costs at the end of a case.</w:t>
            </w:r>
          </w:p>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Guidance note in respect of Precedent H had been provided and a Budget Discussion Report (Precedent R) was introduced.</w:t>
            </w:r>
          </w:p>
          <w:p w:rsidR="001C6FF3" w:rsidRDefault="001C6FF3" w:rsidP="00E14136">
            <w:pPr>
              <w:spacing w:after="0" w:line="240" w:lineRule="auto"/>
              <w:jc w:val="both"/>
              <w:rPr>
                <w:rFonts w:ascii="Corbel" w:hAnsi="Corbel" w:cs="Arial"/>
                <w:sz w:val="24"/>
                <w:szCs w:val="24"/>
              </w:rPr>
            </w:pPr>
            <w:r w:rsidRPr="00E54846">
              <w:rPr>
                <w:rFonts w:ascii="Corbel" w:hAnsi="Corbel" w:cs="Arial"/>
                <w:sz w:val="24"/>
                <w:szCs w:val="24"/>
              </w:rPr>
              <w:t>Also the amendments to Practice Direction came into force which provides new requirements for the form of the Bill of Costs:</w:t>
            </w:r>
          </w:p>
          <w:p w:rsidR="00920B8D" w:rsidRPr="00E54846" w:rsidRDefault="00920B8D" w:rsidP="00E14136">
            <w:pPr>
              <w:spacing w:after="0" w:line="240" w:lineRule="auto"/>
              <w:jc w:val="both"/>
              <w:rPr>
                <w:rFonts w:ascii="Corbel" w:hAnsi="Corbel" w:cs="Arial"/>
                <w:sz w:val="24"/>
                <w:szCs w:val="24"/>
              </w:rPr>
            </w:pPr>
          </w:p>
          <w:p w:rsidR="001C6FF3" w:rsidRPr="00E54846" w:rsidRDefault="001C6FF3" w:rsidP="00E14136">
            <w:pPr>
              <w:pStyle w:val="ListParagraph"/>
              <w:numPr>
                <w:ilvl w:val="0"/>
                <w:numId w:val="4"/>
              </w:numPr>
              <w:spacing w:after="0" w:line="240" w:lineRule="auto"/>
              <w:jc w:val="both"/>
              <w:rPr>
                <w:rFonts w:ascii="Corbel" w:hAnsi="Corbel" w:cs="Arial"/>
                <w:sz w:val="24"/>
                <w:szCs w:val="24"/>
              </w:rPr>
            </w:pPr>
            <w:r w:rsidRPr="00E54846">
              <w:rPr>
                <w:rFonts w:ascii="Corbel" w:hAnsi="Corbel"/>
                <w:sz w:val="24"/>
                <w:szCs w:val="24"/>
              </w:rPr>
              <w:t xml:space="preserve">If the Bill covers costs for work done both before and after </w:t>
            </w:r>
            <w:r w:rsidRPr="00E54846">
              <w:rPr>
                <w:rFonts w:ascii="Corbel" w:hAnsi="Corbel"/>
                <w:sz w:val="24"/>
                <w:szCs w:val="24"/>
              </w:rPr>
              <w:lastRenderedPageBreak/>
              <w:t>01/04/2013, the Bill must be divided into parts so as to distinguish between costs shown as incurred for work done before 1 April 2013 and costs shown as incurred for work done on or after 1 April 2013.</w:t>
            </w:r>
          </w:p>
          <w:p w:rsidR="001C6FF3" w:rsidRPr="00E54846" w:rsidRDefault="001C6FF3" w:rsidP="00E14136">
            <w:pPr>
              <w:pStyle w:val="ListParagraph"/>
              <w:numPr>
                <w:ilvl w:val="0"/>
                <w:numId w:val="4"/>
              </w:numPr>
              <w:spacing w:after="0" w:line="240" w:lineRule="auto"/>
              <w:jc w:val="both"/>
              <w:rPr>
                <w:rFonts w:ascii="Corbel" w:hAnsi="Corbel" w:cs="Arial"/>
                <w:sz w:val="24"/>
                <w:szCs w:val="24"/>
              </w:rPr>
            </w:pPr>
            <w:r w:rsidRPr="00E54846">
              <w:rPr>
                <w:rFonts w:ascii="Corbel" w:hAnsi="Corbel"/>
                <w:sz w:val="24"/>
                <w:szCs w:val="24"/>
              </w:rPr>
              <w:t xml:space="preserve">In cases where a costs management order has been made the Bill must be divided into separate parts so as to distinguish between the costs claimed for each phase of the last approved or agreed budget, and within each such part the </w:t>
            </w:r>
            <w:r w:rsidR="007328DC" w:rsidRPr="00E54846">
              <w:rPr>
                <w:rFonts w:ascii="Corbel" w:hAnsi="Corbel"/>
                <w:sz w:val="24"/>
                <w:szCs w:val="24"/>
              </w:rPr>
              <w:t>B</w:t>
            </w:r>
            <w:r w:rsidRPr="00E54846">
              <w:rPr>
                <w:rFonts w:ascii="Corbel" w:hAnsi="Corbel"/>
                <w:sz w:val="24"/>
                <w:szCs w:val="24"/>
              </w:rPr>
              <w:t>ill must distinguish between the costs shown as incurred in the last agreed or approved budget and the costs shown as estimated.</w:t>
            </w:r>
          </w:p>
          <w:p w:rsidR="001C6FF3" w:rsidRPr="00E54846" w:rsidRDefault="001C6FF3" w:rsidP="00E14136">
            <w:pPr>
              <w:pStyle w:val="ListParagraph"/>
              <w:numPr>
                <w:ilvl w:val="0"/>
                <w:numId w:val="4"/>
              </w:numPr>
              <w:spacing w:after="0" w:line="240" w:lineRule="auto"/>
              <w:jc w:val="both"/>
              <w:rPr>
                <w:rFonts w:ascii="Corbel" w:eastAsia="Times New Roman" w:hAnsi="Corbel" w:cs="Times New Roman"/>
                <w:sz w:val="24"/>
                <w:szCs w:val="24"/>
                <w:lang w:eastAsia="en-GB"/>
              </w:rPr>
            </w:pPr>
            <w:r w:rsidRPr="00E54846">
              <w:rPr>
                <w:rFonts w:ascii="Corbel" w:hAnsi="Corbel"/>
                <w:sz w:val="24"/>
                <w:szCs w:val="24"/>
              </w:rPr>
              <w:t>In cases where a costs management order has been made the costs of initially completing Precedent H and the other costs of the budgeting and costs management process must be set out in separate parts.</w:t>
            </w:r>
          </w:p>
          <w:p w:rsidR="001C6FF3" w:rsidRPr="00E54846" w:rsidRDefault="001C6FF3" w:rsidP="00E14136">
            <w:pPr>
              <w:spacing w:after="0"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 xml:space="preserve"> </w:t>
            </w:r>
          </w:p>
        </w:tc>
      </w:tr>
      <w:tr w:rsidR="001C6FF3" w:rsidRPr="00E54846" w:rsidTr="008A7CE5">
        <w:trPr>
          <w:trHeight w:val="380"/>
        </w:trPr>
        <w:tc>
          <w:tcPr>
            <w:tcW w:w="2340" w:type="dxa"/>
            <w:tcBorders>
              <w:top w:val="nil"/>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lastRenderedPageBreak/>
              <w:t>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JUNE 2016</w:t>
            </w:r>
          </w:p>
        </w:tc>
        <w:tc>
          <w:tcPr>
            <w:tcW w:w="6902" w:type="dxa"/>
            <w:tcBorders>
              <w:top w:val="nil"/>
              <w:left w:val="nil"/>
              <w:bottom w:val="single" w:sz="4" w:space="0" w:color="auto"/>
              <w:right w:val="single" w:sz="8" w:space="0" w:color="auto"/>
            </w:tcBorders>
            <w:shd w:val="clear" w:color="auto" w:fill="548DD4" w:themeFill="text2"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cs="Arial"/>
                <w:bCs/>
                <w:sz w:val="24"/>
                <w:szCs w:val="24"/>
              </w:rPr>
              <w:t xml:space="preserve">Came into force the amendment to Pre-Action Protocol for Low Value Personal Injury Claims in Road Traffic Accidents that </w:t>
            </w:r>
            <w:r w:rsidRPr="00E54846">
              <w:rPr>
                <w:rFonts w:ascii="Corbel" w:hAnsi="Corbel" w:cs="Arial"/>
                <w:sz w:val="24"/>
                <w:szCs w:val="24"/>
              </w:rPr>
              <w:t>a medical expert, preparing an initial report in a soft tissue injury claim, must be accredited by MedCo Registration Solutions (“MedCo”).</w:t>
            </w:r>
          </w:p>
        </w:tc>
      </w:tr>
      <w:tr w:rsidR="001C6FF3" w:rsidRPr="00E54846" w:rsidTr="008A7CE5">
        <w:trPr>
          <w:trHeight w:val="1832"/>
        </w:trPr>
        <w:tc>
          <w:tcPr>
            <w:tcW w:w="2340" w:type="dxa"/>
            <w:tcBorders>
              <w:top w:val="single" w:sz="4" w:space="0" w:color="auto"/>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 29</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SEPTEMBER 2016</w:t>
            </w:r>
          </w:p>
        </w:tc>
        <w:tc>
          <w:tcPr>
            <w:tcW w:w="6902" w:type="dxa"/>
            <w:tcBorders>
              <w:top w:val="single" w:sz="4" w:space="0" w:color="auto"/>
              <w:left w:val="nil"/>
              <w:bottom w:val="single" w:sz="8" w:space="0" w:color="auto"/>
              <w:right w:val="single" w:sz="8" w:space="0" w:color="auto"/>
            </w:tcBorders>
            <w:shd w:val="clear" w:color="auto" w:fill="FF0000"/>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Came into force changes to Practice Direction regarding New Bill of Costs Pilot Scheme.</w:t>
            </w:r>
          </w:p>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pilot testing the New Bill of Costs is extended for a further period of 12 months.  Modifications are made to the Bill of Costs following the initial pilot.</w:t>
            </w:r>
          </w:p>
        </w:tc>
      </w:tr>
      <w:tr w:rsidR="001C6FF3" w:rsidRPr="00E54846" w:rsidTr="008A7CE5">
        <w:tc>
          <w:tcPr>
            <w:tcW w:w="2340" w:type="dxa"/>
            <w:tcBorders>
              <w:top w:val="nil"/>
              <w:left w:val="single" w:sz="8" w:space="0" w:color="auto"/>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3</w:t>
            </w:r>
            <w:r w:rsidRPr="00E54846">
              <w:rPr>
                <w:rFonts w:ascii="Corbel" w:eastAsia="Times New Roman" w:hAnsi="Corbel" w:cs="Times New Roman"/>
                <w:sz w:val="24"/>
                <w:szCs w:val="24"/>
                <w:vertAlign w:val="superscript"/>
                <w:lang w:eastAsia="en-GB"/>
              </w:rPr>
              <w:t>RD</w:t>
            </w:r>
            <w:r w:rsidRPr="00E54846">
              <w:rPr>
                <w:rFonts w:ascii="Corbel" w:eastAsia="Times New Roman" w:hAnsi="Corbel" w:cs="Times New Roman"/>
                <w:sz w:val="24"/>
                <w:szCs w:val="24"/>
                <w:lang w:eastAsia="en-GB"/>
              </w:rPr>
              <w:t xml:space="preserve"> OCTOBER 2016 </w:t>
            </w:r>
          </w:p>
        </w:tc>
        <w:tc>
          <w:tcPr>
            <w:tcW w:w="6902" w:type="dxa"/>
            <w:tcBorders>
              <w:top w:val="nil"/>
              <w:left w:val="nil"/>
              <w:bottom w:val="single" w:sz="8" w:space="0" w:color="auto"/>
              <w:right w:val="single" w:sz="8" w:space="0" w:color="auto"/>
            </w:tcBorders>
            <w:shd w:val="clear" w:color="auto" w:fill="DDD9C3" w:themeFill="background2" w:themeFillShade="E6"/>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A revised form for filing costs budgets (Precedent H) is introduced.</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cs="Arial"/>
                <w:sz w:val="24"/>
                <w:szCs w:val="24"/>
              </w:rPr>
              <w:t xml:space="preserve">The New Bill of Costs Pilot Scheme is extended by a year and is modified to alleviate concerns raised about the existing form’s reliance on J Codes. A new model version of an electronic Bill, </w:t>
            </w:r>
            <w:r w:rsidRPr="00E54846">
              <w:rPr>
                <w:rFonts w:ascii="Corbel" w:eastAsia="Times New Roman" w:hAnsi="Corbel" w:cs="Arial"/>
                <w:sz w:val="24"/>
                <w:szCs w:val="24"/>
                <w:lang w:eastAsia="en-GB"/>
              </w:rPr>
              <w:t>Precedent AB,</w:t>
            </w:r>
            <w:r w:rsidRPr="00E54846">
              <w:rPr>
                <w:rFonts w:ascii="Corbel" w:hAnsi="Corbel" w:cs="Arial"/>
                <w:sz w:val="24"/>
                <w:szCs w:val="24"/>
              </w:rPr>
              <w:t xml:space="preserve"> was introduced.</w:t>
            </w:r>
          </w:p>
        </w:tc>
      </w:tr>
      <w:tr w:rsidR="001C6FF3" w:rsidRPr="00E54846" w:rsidTr="008A7CE5">
        <w:trPr>
          <w:trHeight w:val="472"/>
        </w:trPr>
        <w:tc>
          <w:tcPr>
            <w:tcW w:w="2340" w:type="dxa"/>
            <w:tcBorders>
              <w:top w:val="nil"/>
              <w:left w:val="single" w:sz="8" w:space="0" w:color="auto"/>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MARCH 2017</w:t>
            </w:r>
          </w:p>
        </w:tc>
        <w:tc>
          <w:tcPr>
            <w:tcW w:w="6902" w:type="dxa"/>
            <w:tcBorders>
              <w:top w:val="nil"/>
              <w:left w:val="nil"/>
              <w:bottom w:val="single" w:sz="4" w:space="0" w:color="auto"/>
              <w:right w:val="single" w:sz="8" w:space="0" w:color="auto"/>
            </w:tcBorders>
            <w:shd w:val="clear" w:color="auto" w:fill="B2A1C7" w:themeFill="accent4" w:themeFillTint="99"/>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color w:val="000000"/>
                <w:kern w:val="36"/>
                <w:sz w:val="24"/>
                <w:szCs w:val="24"/>
              </w:rPr>
            </w:pPr>
            <w:r w:rsidRPr="00E54846">
              <w:rPr>
                <w:rFonts w:ascii="Corbel" w:hAnsi="Corbel" w:cs="Arial"/>
                <w:color w:val="000000"/>
                <w:kern w:val="36"/>
                <w:sz w:val="24"/>
                <w:szCs w:val="24"/>
              </w:rPr>
              <w:t>The Civil Proceedings Fees (Amendment) Order 2016 came into force.</w:t>
            </w:r>
          </w:p>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 xml:space="preserve">The availability of refunds from the Court of the Hearing Fee in cases which have been settled or discontinued has been removed. </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hAnsi="Corbel" w:cs="Arial"/>
                <w:sz w:val="24"/>
                <w:szCs w:val="24"/>
              </w:rPr>
              <w:t>However, the amendments made by this Order have no effect in relation to cases in which the Court gives notice of the Trial date or the start of the Trial period before 6th March 2017.</w:t>
            </w:r>
          </w:p>
        </w:tc>
      </w:tr>
      <w:tr w:rsidR="001C6FF3" w:rsidRPr="00E54846" w:rsidTr="008A7CE5">
        <w:trPr>
          <w:trHeight w:val="1394"/>
        </w:trPr>
        <w:tc>
          <w:tcPr>
            <w:tcW w:w="2340" w:type="dxa"/>
            <w:tcBorders>
              <w:top w:val="single" w:sz="4" w:space="0" w:color="auto"/>
              <w:left w:val="single" w:sz="8" w:space="0" w:color="auto"/>
              <w:bottom w:val="single" w:sz="8" w:space="0" w:color="auto"/>
              <w:right w:val="single" w:sz="8" w:space="0" w:color="auto"/>
            </w:tcBorders>
            <w:shd w:val="clear" w:color="auto" w:fill="948A54" w:themeFill="background2" w:themeFillShade="80"/>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lastRenderedPageBreak/>
              <w:t>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2017 </w:t>
            </w:r>
          </w:p>
        </w:tc>
        <w:tc>
          <w:tcPr>
            <w:tcW w:w="6902" w:type="dxa"/>
            <w:tcBorders>
              <w:top w:val="single" w:sz="4" w:space="0" w:color="auto"/>
              <w:left w:val="nil"/>
              <w:bottom w:val="single" w:sz="8" w:space="0" w:color="auto"/>
              <w:right w:val="single" w:sz="8" w:space="0" w:color="auto"/>
            </w:tcBorders>
            <w:shd w:val="clear" w:color="auto" w:fill="948A54" w:themeFill="background2" w:themeFillShade="80"/>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Rules 2017.</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 xml:space="preserve">The amendments related to </w:t>
            </w:r>
            <w:r w:rsidRPr="00E54846">
              <w:rPr>
                <w:rFonts w:ascii="Corbel" w:hAnsi="Corbel" w:cs="Arial"/>
                <w:sz w:val="24"/>
                <w:szCs w:val="24"/>
              </w:rPr>
              <w:t>the Court of Appeal judgment in Qader &amp; Ors v Esure Services Ltd and Khan and Anr v McGee (fixed recoverable costs do not apply to the Multi Track cases) came into force.</w:t>
            </w:r>
          </w:p>
        </w:tc>
      </w:tr>
      <w:tr w:rsidR="001C6FF3" w:rsidRPr="00E54846" w:rsidTr="008A7CE5">
        <w:tc>
          <w:tcPr>
            <w:tcW w:w="2340" w:type="dxa"/>
            <w:tcBorders>
              <w:top w:val="nil"/>
              <w:left w:val="single" w:sz="8" w:space="0" w:color="auto"/>
              <w:bottom w:val="single" w:sz="8" w:space="0" w:color="auto"/>
              <w:right w:val="single" w:sz="8" w:space="0" w:color="auto"/>
            </w:tcBorders>
            <w:shd w:val="clear" w:color="auto" w:fill="9BBB59" w:themeFill="accent3"/>
            <w:tcMar>
              <w:top w:w="0" w:type="dxa"/>
              <w:left w:w="108" w:type="dxa"/>
              <w:bottom w:w="0" w:type="dxa"/>
              <w:right w:w="108" w:type="dxa"/>
            </w:tcMar>
            <w:hideMark/>
          </w:tcPr>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 1</w:t>
            </w:r>
            <w:r w:rsidRPr="00E54846">
              <w:rPr>
                <w:rFonts w:ascii="Corbel" w:eastAsia="Times New Roman" w:hAnsi="Corbel" w:cs="Times New Roman"/>
                <w:sz w:val="24"/>
                <w:szCs w:val="24"/>
                <w:vertAlign w:val="superscript"/>
                <w:lang w:eastAsia="en-GB"/>
              </w:rPr>
              <w:t>ST</w:t>
            </w:r>
            <w:r w:rsidRPr="00E54846">
              <w:rPr>
                <w:rFonts w:ascii="Corbel" w:eastAsia="Times New Roman" w:hAnsi="Corbel" w:cs="Times New Roman"/>
                <w:sz w:val="24"/>
                <w:szCs w:val="24"/>
                <w:lang w:eastAsia="en-GB"/>
              </w:rPr>
              <w:t xml:space="preserve"> OCTOBER 2017</w:t>
            </w:r>
          </w:p>
        </w:tc>
        <w:tc>
          <w:tcPr>
            <w:tcW w:w="6902" w:type="dxa"/>
            <w:tcBorders>
              <w:top w:val="nil"/>
              <w:left w:val="nil"/>
              <w:bottom w:val="single" w:sz="8" w:space="0" w:color="auto"/>
              <w:right w:val="single" w:sz="8" w:space="0" w:color="auto"/>
            </w:tcBorders>
            <w:shd w:val="clear" w:color="auto" w:fill="9BBB59" w:themeFill="accent3"/>
            <w:tcMar>
              <w:top w:w="0" w:type="dxa"/>
              <w:left w:w="108" w:type="dxa"/>
              <w:bottom w:w="0" w:type="dxa"/>
              <w:right w:w="108" w:type="dxa"/>
            </w:tcMar>
            <w:hideMark/>
          </w:tcPr>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The Civil Procedure (Amendment No. 2) Rules 2017 came into force. Rule 47.6 was amended to provide for the filing of electronic and/or paper versions of the bill of costs, if appropriate, and to direct users to the relevant practice direction supplementing Part 47 (Practice Direction 47). The majority of amendments relating to the New Bill of Costs are provided within 92</w:t>
            </w:r>
            <w:r w:rsidRPr="00E54846">
              <w:rPr>
                <w:rFonts w:ascii="Corbel" w:hAnsi="Corbel" w:cs="Arial"/>
                <w:sz w:val="24"/>
                <w:szCs w:val="24"/>
                <w:vertAlign w:val="superscript"/>
              </w:rPr>
              <w:t>nd</w:t>
            </w:r>
            <w:r w:rsidRPr="00E54846">
              <w:rPr>
                <w:rFonts w:ascii="Corbel" w:hAnsi="Corbel" w:cs="Arial"/>
                <w:sz w:val="24"/>
                <w:szCs w:val="24"/>
              </w:rPr>
              <w:t xml:space="preserve"> Update to Practice Direction 47 which was signed on 20</w:t>
            </w:r>
            <w:r w:rsidRPr="00E54846">
              <w:rPr>
                <w:rFonts w:ascii="Corbel" w:hAnsi="Corbel" w:cs="Arial"/>
                <w:sz w:val="24"/>
                <w:szCs w:val="24"/>
                <w:vertAlign w:val="superscript"/>
              </w:rPr>
              <w:t>th</w:t>
            </w:r>
            <w:r w:rsidRPr="00E54846">
              <w:rPr>
                <w:rFonts w:ascii="Corbel" w:hAnsi="Corbel" w:cs="Arial"/>
                <w:sz w:val="24"/>
                <w:szCs w:val="24"/>
              </w:rPr>
              <w:t xml:space="preserve"> November 2017.</w:t>
            </w:r>
          </w:p>
          <w:p w:rsidR="001C6FF3" w:rsidRPr="00E54846" w:rsidRDefault="001C6FF3" w:rsidP="00E14136">
            <w:pPr>
              <w:spacing w:line="240" w:lineRule="auto"/>
              <w:jc w:val="both"/>
              <w:rPr>
                <w:rFonts w:ascii="Corbel" w:hAnsi="Corbel" w:cs="Arial"/>
                <w:sz w:val="24"/>
                <w:szCs w:val="24"/>
              </w:rPr>
            </w:pPr>
            <w:r w:rsidRPr="00E54846">
              <w:rPr>
                <w:rFonts w:ascii="Corbel" w:hAnsi="Corbel" w:cs="Arial"/>
                <w:sz w:val="24"/>
                <w:szCs w:val="24"/>
              </w:rPr>
              <w:t>Precedent S (</w:t>
            </w:r>
            <w:r w:rsidRPr="00E54846">
              <w:rPr>
                <w:rFonts w:ascii="Corbel" w:hAnsi="Corbel"/>
                <w:sz w:val="24"/>
                <w:szCs w:val="24"/>
              </w:rPr>
              <w:t xml:space="preserve">the spreadsheet form for electronic Bills) </w:t>
            </w:r>
            <w:r w:rsidRPr="00E54846">
              <w:rPr>
                <w:rFonts w:ascii="Corbel" w:hAnsi="Corbel" w:cs="Arial"/>
                <w:sz w:val="24"/>
                <w:szCs w:val="24"/>
              </w:rPr>
              <w:t>has been introduced.</w:t>
            </w:r>
          </w:p>
          <w:p w:rsidR="001C6FF3" w:rsidRPr="00E54846" w:rsidRDefault="001C6FF3" w:rsidP="00E14136">
            <w:pPr>
              <w:spacing w:line="240" w:lineRule="auto"/>
              <w:jc w:val="both"/>
              <w:rPr>
                <w:rFonts w:ascii="Corbel" w:eastAsia="Times New Roman" w:hAnsi="Corbel" w:cs="Times New Roman"/>
                <w:sz w:val="24"/>
                <w:szCs w:val="24"/>
                <w:lang w:eastAsia="en-GB"/>
              </w:rPr>
            </w:pPr>
            <w:r w:rsidRPr="00E54846">
              <w:rPr>
                <w:rFonts w:ascii="Corbel" w:eastAsia="Times New Roman" w:hAnsi="Corbel" w:cs="Times New Roman"/>
                <w:sz w:val="24"/>
                <w:szCs w:val="24"/>
                <w:lang w:eastAsia="en-GB"/>
              </w:rPr>
              <w:t>However, new electronic Bills are not mandatory until 6</w:t>
            </w:r>
            <w:r w:rsidRPr="00E54846">
              <w:rPr>
                <w:rFonts w:ascii="Corbel" w:eastAsia="Times New Roman" w:hAnsi="Corbel" w:cs="Times New Roman"/>
                <w:sz w:val="24"/>
                <w:szCs w:val="24"/>
                <w:vertAlign w:val="superscript"/>
                <w:lang w:eastAsia="en-GB"/>
              </w:rPr>
              <w:t>th</w:t>
            </w:r>
            <w:r w:rsidRPr="00E54846">
              <w:rPr>
                <w:rFonts w:ascii="Corbel" w:eastAsia="Times New Roman" w:hAnsi="Corbel" w:cs="Times New Roman"/>
                <w:sz w:val="24"/>
                <w:szCs w:val="24"/>
                <w:lang w:eastAsia="en-GB"/>
              </w:rPr>
              <w:t xml:space="preserve"> April 2018.</w:t>
            </w:r>
          </w:p>
        </w:tc>
      </w:tr>
    </w:tbl>
    <w:p w:rsidR="001257C6" w:rsidRDefault="001257C6" w:rsidP="00E14136">
      <w:pPr>
        <w:spacing w:line="240" w:lineRule="auto"/>
      </w:pPr>
    </w:p>
    <w:p w:rsidR="00920B8D" w:rsidRDefault="00920B8D" w:rsidP="00E14136">
      <w:pPr>
        <w:spacing w:line="240" w:lineRule="auto"/>
      </w:pPr>
    </w:p>
    <w:p w:rsidR="00920B8D" w:rsidRPr="00920B8D" w:rsidRDefault="00920B8D" w:rsidP="00E14136">
      <w:pPr>
        <w:spacing w:line="240" w:lineRule="auto"/>
        <w:rPr>
          <w:rFonts w:ascii="Corbel" w:hAnsi="Corbel"/>
          <w:b/>
          <w:sz w:val="24"/>
          <w:szCs w:val="24"/>
        </w:rPr>
      </w:pPr>
      <w:r w:rsidRPr="00920B8D">
        <w:rPr>
          <w:rFonts w:ascii="Corbel" w:hAnsi="Corbel"/>
          <w:b/>
          <w:sz w:val="24"/>
          <w:szCs w:val="24"/>
        </w:rPr>
        <w:t>8</w:t>
      </w:r>
      <w:r w:rsidRPr="00920B8D">
        <w:rPr>
          <w:rFonts w:ascii="Corbel" w:hAnsi="Corbel"/>
          <w:b/>
          <w:sz w:val="24"/>
          <w:szCs w:val="24"/>
          <w:vertAlign w:val="superscript"/>
        </w:rPr>
        <w:t>th</w:t>
      </w:r>
      <w:r w:rsidRPr="00920B8D">
        <w:rPr>
          <w:rFonts w:ascii="Corbel" w:hAnsi="Corbel"/>
          <w:b/>
          <w:sz w:val="24"/>
          <w:szCs w:val="24"/>
        </w:rPr>
        <w:t xml:space="preserve"> February 2018</w:t>
      </w:r>
    </w:p>
    <w:sectPr w:rsidR="00920B8D" w:rsidRPr="00920B8D" w:rsidSect="0041091F">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583" w:rsidRDefault="00393583" w:rsidP="00E54846">
      <w:pPr>
        <w:spacing w:after="0" w:line="240" w:lineRule="auto"/>
      </w:pPr>
      <w:r>
        <w:separator/>
      </w:r>
    </w:p>
  </w:endnote>
  <w:endnote w:type="continuationSeparator" w:id="0">
    <w:p w:rsidR="00393583" w:rsidRDefault="00393583" w:rsidP="00E54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Frutiger-Light">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846" w:rsidRDefault="00E54846" w:rsidP="00E54846">
    <w:pPr>
      <w:pStyle w:val="Footer"/>
      <w:jc w:val="center"/>
    </w:pPr>
    <w:r>
      <w:rPr>
        <w:noProof/>
        <w:lang w:eastAsia="en-GB"/>
      </w:rPr>
      <w:drawing>
        <wp:inline distT="0" distB="0" distL="0" distR="0">
          <wp:extent cx="906581" cy="614477"/>
          <wp:effectExtent l="19050" t="0" r="7819" b="0"/>
          <wp:docPr id="1" name="Picture 1" descr="cid:part1.00020804.04040601@a-amarke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part1.00020804.04040601@a-amarketing.com"/>
                  <pic:cNvPicPr>
                    <a:picLocks noChangeAspect="1" noChangeArrowheads="1"/>
                  </pic:cNvPicPr>
                </pic:nvPicPr>
                <pic:blipFill>
                  <a:blip r:embed="rId1"/>
                  <a:srcRect/>
                  <a:stretch>
                    <a:fillRect/>
                  </a:stretch>
                </pic:blipFill>
                <pic:spPr bwMode="auto">
                  <a:xfrm>
                    <a:off x="0" y="0"/>
                    <a:ext cx="906403" cy="614356"/>
                  </a:xfrm>
                  <a:prstGeom prst="rect">
                    <a:avLst/>
                  </a:prstGeom>
                  <a:noFill/>
                  <a:ln w="9525">
                    <a:noFill/>
                    <a:miter lim="800000"/>
                    <a:headEnd/>
                    <a:tailEnd/>
                  </a:ln>
                </pic:spPr>
              </pic:pic>
            </a:graphicData>
          </a:graphic>
        </wp:inline>
      </w:drawing>
    </w:r>
  </w:p>
  <w:p w:rsidR="00E54846" w:rsidRDefault="00E548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583" w:rsidRDefault="00393583" w:rsidP="00E54846">
      <w:pPr>
        <w:spacing w:after="0" w:line="240" w:lineRule="auto"/>
      </w:pPr>
      <w:r>
        <w:separator/>
      </w:r>
    </w:p>
  </w:footnote>
  <w:footnote w:type="continuationSeparator" w:id="0">
    <w:p w:rsidR="00393583" w:rsidRDefault="00393583" w:rsidP="00E548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C2CAA"/>
    <w:multiLevelType w:val="hybridMultilevel"/>
    <w:tmpl w:val="64DEE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B74FE4"/>
    <w:multiLevelType w:val="hybridMultilevel"/>
    <w:tmpl w:val="2BC6C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49E16AC"/>
    <w:multiLevelType w:val="hybridMultilevel"/>
    <w:tmpl w:val="D6E0F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9BF6738"/>
    <w:multiLevelType w:val="multilevel"/>
    <w:tmpl w:val="5BD6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1257C6"/>
    <w:rsid w:val="000A16A5"/>
    <w:rsid w:val="001257C6"/>
    <w:rsid w:val="001C6FF3"/>
    <w:rsid w:val="00283FA7"/>
    <w:rsid w:val="003459A5"/>
    <w:rsid w:val="00393583"/>
    <w:rsid w:val="0041091F"/>
    <w:rsid w:val="004A18C3"/>
    <w:rsid w:val="0064187D"/>
    <w:rsid w:val="007328DC"/>
    <w:rsid w:val="00742BD1"/>
    <w:rsid w:val="007D2BDB"/>
    <w:rsid w:val="008435AC"/>
    <w:rsid w:val="008A7CE5"/>
    <w:rsid w:val="00920B8D"/>
    <w:rsid w:val="009254DD"/>
    <w:rsid w:val="00BB5F64"/>
    <w:rsid w:val="00D6708E"/>
    <w:rsid w:val="00DE62E1"/>
    <w:rsid w:val="00E14136"/>
    <w:rsid w:val="00E54846"/>
    <w:rsid w:val="00E84C8A"/>
    <w:rsid w:val="00F6118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9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1C6F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2">
    <w:name w:val="legds2"/>
    <w:basedOn w:val="DefaultParagraphFont"/>
    <w:rsid w:val="001C6FF3"/>
    <w:rPr>
      <w:vanish w:val="0"/>
      <w:webHidden w:val="0"/>
      <w:specVanish w:val="0"/>
    </w:rPr>
  </w:style>
  <w:style w:type="paragraph" w:styleId="Title">
    <w:name w:val="Title"/>
    <w:basedOn w:val="Normal"/>
    <w:link w:val="TitleChar"/>
    <w:qFormat/>
    <w:rsid w:val="001C6FF3"/>
    <w:pPr>
      <w:spacing w:after="600" w:line="240" w:lineRule="auto"/>
      <w:jc w:val="center"/>
    </w:pPr>
    <w:rPr>
      <w:rFonts w:ascii="Times New Roman" w:eastAsia="Times New Roman" w:hAnsi="Times New Roman" w:cs="Times New Roman"/>
      <w:kern w:val="28"/>
      <w:sz w:val="32"/>
      <w:szCs w:val="20"/>
    </w:rPr>
  </w:style>
  <w:style w:type="character" w:customStyle="1" w:styleId="TitleChar">
    <w:name w:val="Title Char"/>
    <w:basedOn w:val="DefaultParagraphFont"/>
    <w:link w:val="Title"/>
    <w:rsid w:val="001C6FF3"/>
    <w:rPr>
      <w:rFonts w:ascii="Times New Roman" w:eastAsia="Times New Roman" w:hAnsi="Times New Roman" w:cs="Times New Roman"/>
      <w:kern w:val="28"/>
      <w:sz w:val="32"/>
      <w:szCs w:val="20"/>
    </w:rPr>
  </w:style>
  <w:style w:type="character" w:customStyle="1" w:styleId="legamendingtext">
    <w:name w:val="legamendingtext"/>
    <w:basedOn w:val="DefaultParagraphFont"/>
    <w:rsid w:val="001C6FF3"/>
  </w:style>
  <w:style w:type="paragraph" w:styleId="ListParagraph">
    <w:name w:val="List Paragraph"/>
    <w:basedOn w:val="Normal"/>
    <w:uiPriority w:val="34"/>
    <w:qFormat/>
    <w:rsid w:val="001C6FF3"/>
    <w:pPr>
      <w:ind w:left="720"/>
      <w:contextualSpacing/>
    </w:pPr>
  </w:style>
  <w:style w:type="character" w:styleId="Emphasis">
    <w:name w:val="Emphasis"/>
    <w:basedOn w:val="DefaultParagraphFont"/>
    <w:uiPriority w:val="20"/>
    <w:qFormat/>
    <w:rsid w:val="001C6FF3"/>
    <w:rPr>
      <w:i/>
      <w:iCs/>
    </w:rPr>
  </w:style>
  <w:style w:type="paragraph" w:customStyle="1" w:styleId="Default">
    <w:name w:val="Default"/>
    <w:rsid w:val="001C6FF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semiHidden/>
    <w:unhideWhenUsed/>
    <w:rsid w:val="00E5484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54846"/>
  </w:style>
  <w:style w:type="paragraph" w:styleId="Footer">
    <w:name w:val="footer"/>
    <w:basedOn w:val="Normal"/>
    <w:link w:val="FooterChar"/>
    <w:uiPriority w:val="99"/>
    <w:unhideWhenUsed/>
    <w:rsid w:val="00E54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46"/>
  </w:style>
  <w:style w:type="paragraph" w:styleId="BalloonText">
    <w:name w:val="Balloon Text"/>
    <w:basedOn w:val="Normal"/>
    <w:link w:val="BalloonTextChar"/>
    <w:uiPriority w:val="99"/>
    <w:semiHidden/>
    <w:unhideWhenUsed/>
    <w:rsid w:val="00E54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8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019C6-9207-43A8-963A-0DA7CE186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2465</Words>
  <Characters>14053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Tanya.Bland</dc:creator>
  <cp:lastModifiedBy>guy.platt-higgins</cp:lastModifiedBy>
  <cp:revision>4</cp:revision>
  <dcterms:created xsi:type="dcterms:W3CDTF">2018-02-08T14:23:00Z</dcterms:created>
  <dcterms:modified xsi:type="dcterms:W3CDTF">2018-02-08T16:00:00Z</dcterms:modified>
</cp:coreProperties>
</file>